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webextensions/webextension3.xml" ContentType="application/vnd.ms-office.webextension+xml"/>
  <Override PartName="/word/webextensions/webextension4.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2DDC" w:rsidRDefault="00F42DDC" w:rsidP="00CA14A7">
      <w:pPr>
        <w:rPr>
          <w:b/>
          <w:bCs/>
          <w:szCs w:val="28"/>
        </w:rPr>
      </w:pPr>
    </w:p>
    <w:p w:rsidR="00F21FB8" w:rsidRPr="00975FE2" w:rsidRDefault="00AA04DA" w:rsidP="00DE1040">
      <w:pPr>
        <w:pStyle w:val="Ttulo1"/>
        <w:numPr>
          <w:ilvl w:val="0"/>
          <w:numId w:val="0"/>
        </w:numPr>
      </w:pPr>
      <w:r w:rsidRPr="00AA04DA">
        <w:t>MARGARITA CABELLO BLANCO</w:t>
      </w:r>
    </w:p>
    <w:p w:rsidR="00F42DDC" w:rsidRDefault="0037244D" w:rsidP="00F538D9">
      <w:pPr>
        <w:jc w:val="center"/>
        <w:rPr>
          <w:b/>
          <w:bCs/>
          <w:szCs w:val="28"/>
        </w:rPr>
      </w:pPr>
      <w:r w:rsidRPr="00F538D9">
        <w:rPr>
          <w:b/>
          <w:bCs/>
          <w:szCs w:val="28"/>
        </w:rPr>
        <w:t>Magistrada</w:t>
      </w:r>
      <w:r w:rsidR="00CA14A7" w:rsidRPr="00F538D9">
        <w:rPr>
          <w:b/>
          <w:bCs/>
          <w:szCs w:val="28"/>
        </w:rPr>
        <w:t xml:space="preserve"> p</w:t>
      </w:r>
      <w:r w:rsidR="00C530DD" w:rsidRPr="00F538D9">
        <w:rPr>
          <w:b/>
          <w:bCs/>
          <w:szCs w:val="28"/>
        </w:rPr>
        <w:t>onente</w:t>
      </w:r>
    </w:p>
    <w:p w:rsidR="00F538D9" w:rsidRDefault="00F538D9" w:rsidP="00F538D9">
      <w:pPr>
        <w:jc w:val="center"/>
        <w:rPr>
          <w:b/>
          <w:bCs/>
          <w:szCs w:val="28"/>
        </w:rPr>
      </w:pPr>
    </w:p>
    <w:p w:rsidR="006F7148" w:rsidRPr="00F538D9" w:rsidRDefault="006F7148" w:rsidP="00F538D9">
      <w:pPr>
        <w:jc w:val="center"/>
        <w:rPr>
          <w:b/>
          <w:bCs/>
          <w:szCs w:val="28"/>
        </w:rPr>
      </w:pPr>
    </w:p>
    <w:p w:rsidR="00403775" w:rsidRPr="008B23F6" w:rsidRDefault="00CC48F4" w:rsidP="00766169">
      <w:pPr>
        <w:pStyle w:val="Ttulo2"/>
      </w:pPr>
      <w:r w:rsidRPr="00CC48F4">
        <w:t>SC2818-2018</w:t>
      </w:r>
    </w:p>
    <w:p w:rsidR="00C530DD" w:rsidRPr="00975FE2" w:rsidRDefault="00C530DD" w:rsidP="00766169">
      <w:pPr>
        <w:pStyle w:val="Ttulo2"/>
      </w:pPr>
      <w:r w:rsidRPr="00975FE2">
        <w:t>R</w:t>
      </w:r>
      <w:r w:rsidR="00F40141" w:rsidRPr="00975FE2">
        <w:t>adicación n</w:t>
      </w:r>
      <w:r w:rsidR="00403775">
        <w:t>.</w:t>
      </w:r>
      <w:r w:rsidR="00F40141" w:rsidRPr="00975FE2">
        <w:t>°</w:t>
      </w:r>
      <w:r w:rsidRPr="00975FE2">
        <w:t xml:space="preserve"> </w:t>
      </w:r>
      <w:r w:rsidR="00CD3281">
        <w:t>11001-31-03-043-2010-00202-01</w:t>
      </w:r>
    </w:p>
    <w:p w:rsidR="00F40141" w:rsidRPr="00E44CEA" w:rsidRDefault="00F40141" w:rsidP="00E07691">
      <w:pPr>
        <w:jc w:val="center"/>
        <w:rPr>
          <w:sz w:val="24"/>
          <w:szCs w:val="24"/>
        </w:rPr>
      </w:pPr>
      <w:r w:rsidRPr="00E44CEA">
        <w:rPr>
          <w:bCs/>
          <w:sz w:val="24"/>
          <w:szCs w:val="24"/>
        </w:rPr>
        <w:t>(</w:t>
      </w:r>
      <w:r w:rsidR="00F96436" w:rsidRPr="00E44CEA">
        <w:rPr>
          <w:iCs/>
          <w:sz w:val="24"/>
          <w:szCs w:val="24"/>
        </w:rPr>
        <w:t>A</w:t>
      </w:r>
      <w:r w:rsidRPr="00E44CEA">
        <w:rPr>
          <w:iCs/>
          <w:sz w:val="24"/>
          <w:szCs w:val="24"/>
        </w:rPr>
        <w:t xml:space="preserve">probada en </w:t>
      </w:r>
      <w:r w:rsidR="00F96436" w:rsidRPr="00E44CEA">
        <w:rPr>
          <w:iCs/>
          <w:sz w:val="24"/>
          <w:szCs w:val="24"/>
        </w:rPr>
        <w:t xml:space="preserve">sesión </w:t>
      </w:r>
      <w:r w:rsidRPr="00E44CEA">
        <w:rPr>
          <w:iCs/>
          <w:sz w:val="24"/>
          <w:szCs w:val="24"/>
        </w:rPr>
        <w:t>de</w:t>
      </w:r>
      <w:r w:rsidR="00E44CEA" w:rsidRPr="00E44CEA">
        <w:rPr>
          <w:iCs/>
          <w:sz w:val="24"/>
          <w:szCs w:val="24"/>
        </w:rPr>
        <w:t xml:space="preserve"> veintitrés de mayo de dos mil dieciocho</w:t>
      </w:r>
      <w:r w:rsidR="00CA14A7" w:rsidRPr="00E44CEA">
        <w:rPr>
          <w:iCs/>
          <w:sz w:val="24"/>
          <w:szCs w:val="24"/>
        </w:rPr>
        <w:t>)</w:t>
      </w:r>
    </w:p>
    <w:p w:rsidR="00403775" w:rsidRPr="00975FE2" w:rsidRDefault="00403775" w:rsidP="00C530DD">
      <w:pPr>
        <w:rPr>
          <w:szCs w:val="28"/>
        </w:rPr>
      </w:pPr>
    </w:p>
    <w:p w:rsidR="00C530DD" w:rsidRPr="00403775" w:rsidRDefault="00F40141" w:rsidP="00403775">
      <w:pPr>
        <w:ind w:firstLine="708"/>
        <w:rPr>
          <w:szCs w:val="28"/>
        </w:rPr>
      </w:pPr>
      <w:r w:rsidRPr="00403775">
        <w:rPr>
          <w:bCs/>
          <w:szCs w:val="28"/>
        </w:rPr>
        <w:t>Bogotá D. C.,</w:t>
      </w:r>
      <w:r w:rsidR="00403775" w:rsidRPr="00403775">
        <w:rPr>
          <w:bCs/>
          <w:szCs w:val="28"/>
        </w:rPr>
        <w:t xml:space="preserve"> </w:t>
      </w:r>
      <w:r w:rsidR="00CC48F4">
        <w:rPr>
          <w:bCs/>
          <w:szCs w:val="28"/>
        </w:rPr>
        <w:t>dieciocho (18) de julio de dos mil dieciocho (2018).</w:t>
      </w:r>
      <w:bookmarkStart w:id="0" w:name="_GoBack"/>
      <w:bookmarkEnd w:id="0"/>
    </w:p>
    <w:p w:rsidR="00AE6F6B" w:rsidRDefault="00AE6F6B" w:rsidP="00CD3281">
      <w:pPr>
        <w:rPr>
          <w:szCs w:val="28"/>
        </w:rPr>
      </w:pPr>
    </w:p>
    <w:p w:rsidR="00403775" w:rsidRDefault="00CD3281" w:rsidP="00CD3281">
      <w:pPr>
        <w:ind w:firstLine="709"/>
        <w:rPr>
          <w:szCs w:val="28"/>
        </w:rPr>
      </w:pPr>
      <w:r>
        <w:rPr>
          <w:szCs w:val="28"/>
        </w:rPr>
        <w:t xml:space="preserve">Se decide el recurso de casación </w:t>
      </w:r>
      <w:r w:rsidR="00E93FA9">
        <w:rPr>
          <w:szCs w:val="28"/>
        </w:rPr>
        <w:t>de</w:t>
      </w:r>
      <w:r>
        <w:rPr>
          <w:szCs w:val="28"/>
        </w:rPr>
        <w:t xml:space="preserve"> </w:t>
      </w:r>
      <w:r w:rsidRPr="00E93FA9">
        <w:rPr>
          <w:b/>
          <w:szCs w:val="28"/>
        </w:rPr>
        <w:t>Luis Fernando Mejía Otero</w:t>
      </w:r>
      <w:r>
        <w:rPr>
          <w:szCs w:val="28"/>
        </w:rPr>
        <w:t xml:space="preserve"> y la sociedad </w:t>
      </w:r>
      <w:r w:rsidRPr="00710260">
        <w:rPr>
          <w:b/>
          <w:szCs w:val="28"/>
        </w:rPr>
        <w:t>Reusar Ltda.</w:t>
      </w:r>
      <w:r>
        <w:rPr>
          <w:szCs w:val="28"/>
        </w:rPr>
        <w:t xml:space="preserve"> </w:t>
      </w:r>
      <w:r w:rsidR="00E93FA9">
        <w:rPr>
          <w:szCs w:val="28"/>
        </w:rPr>
        <w:t xml:space="preserve">contra la sentencia anticipada proferida por la </w:t>
      </w:r>
      <w:r w:rsidR="00710260">
        <w:rPr>
          <w:szCs w:val="28"/>
        </w:rPr>
        <w:t xml:space="preserve">Sala Civil </w:t>
      </w:r>
      <w:r w:rsidR="00E93FA9">
        <w:rPr>
          <w:szCs w:val="28"/>
        </w:rPr>
        <w:t xml:space="preserve">del Tribunal Superior de Bogotá, de fecha 9 de agosto de 2013, en el proceso que los recurrentes siguen contra </w:t>
      </w:r>
      <w:r w:rsidR="00E93FA9" w:rsidRPr="00E93FA9">
        <w:rPr>
          <w:b/>
          <w:szCs w:val="28"/>
        </w:rPr>
        <w:t xml:space="preserve">María Fernanda Mejía Parra, Jorge Mario Mejía Parra, Miguel Antonio Mejía </w:t>
      </w:r>
      <w:r w:rsidR="005B13BD" w:rsidRPr="00E93FA9">
        <w:rPr>
          <w:b/>
          <w:szCs w:val="28"/>
        </w:rPr>
        <w:t>Borrero</w:t>
      </w:r>
      <w:r w:rsidR="00E93FA9" w:rsidRPr="00E93FA9">
        <w:rPr>
          <w:b/>
          <w:szCs w:val="28"/>
        </w:rPr>
        <w:t xml:space="preserve">, Jacqueline </w:t>
      </w:r>
      <w:r w:rsidR="005B13BD" w:rsidRPr="00E93FA9">
        <w:rPr>
          <w:b/>
          <w:szCs w:val="28"/>
        </w:rPr>
        <w:t xml:space="preserve">Borrero </w:t>
      </w:r>
      <w:r w:rsidR="00E93FA9" w:rsidRPr="00E93FA9">
        <w:rPr>
          <w:b/>
          <w:szCs w:val="28"/>
        </w:rPr>
        <w:t>Martelo, Graciela Parra de Mejía, Mario Mejía Otero, María del Carmen Ospina Pérez, Mejía Parra Otero y Compañía S. en C. en liquidación, Suramericana de Transportes S.A., Tamer Ltda. y Colempaques S.A.S</w:t>
      </w:r>
      <w:r w:rsidR="00710260">
        <w:rPr>
          <w:b/>
          <w:szCs w:val="28"/>
        </w:rPr>
        <w:t>.</w:t>
      </w:r>
      <w:r w:rsidR="00710260">
        <w:rPr>
          <w:szCs w:val="28"/>
        </w:rPr>
        <w:t xml:space="preserve"> </w:t>
      </w:r>
    </w:p>
    <w:p w:rsidR="00F538D9" w:rsidRDefault="00F538D9" w:rsidP="00242F6A"/>
    <w:p w:rsidR="00E93FA9" w:rsidRPr="00242F6A" w:rsidRDefault="00242F6A" w:rsidP="00242F6A">
      <w:pPr>
        <w:pStyle w:val="Prrafodelista"/>
        <w:numPr>
          <w:ilvl w:val="0"/>
          <w:numId w:val="27"/>
        </w:numPr>
        <w:jc w:val="center"/>
        <w:rPr>
          <w:b/>
        </w:rPr>
      </w:pPr>
      <w:r w:rsidRPr="00242F6A">
        <w:rPr>
          <w:b/>
        </w:rPr>
        <w:t>ANTECEDENTES</w:t>
      </w:r>
    </w:p>
    <w:p w:rsidR="00BB6EA4" w:rsidRDefault="00BB6EA4" w:rsidP="00242F6A">
      <w:pPr>
        <w:rPr>
          <w:szCs w:val="28"/>
          <w:lang w:val="es-ES"/>
        </w:rPr>
      </w:pPr>
    </w:p>
    <w:p w:rsidR="009D1522" w:rsidRDefault="00757BF4" w:rsidP="00757BF4">
      <w:pPr>
        <w:ind w:firstLine="709"/>
      </w:pPr>
      <w:r>
        <w:lastRenderedPageBreak/>
        <w:t>A.</w:t>
      </w:r>
      <w:r>
        <w:tab/>
      </w:r>
      <w:r w:rsidR="00871133">
        <w:t xml:space="preserve">Pretensiones.- </w:t>
      </w:r>
      <w:r w:rsidR="00DE1040" w:rsidRPr="00BB6EA4">
        <w:t xml:space="preserve">Con demanda repartida al </w:t>
      </w:r>
      <w:r w:rsidR="000C4EB0" w:rsidRPr="00BB6EA4">
        <w:t xml:space="preserve">Juzgado </w:t>
      </w:r>
      <w:r w:rsidR="00006447">
        <w:t>4</w:t>
      </w:r>
      <w:r w:rsidR="00DE1040" w:rsidRPr="00BB6EA4">
        <w:t xml:space="preserve">3 </w:t>
      </w:r>
      <w:r w:rsidR="000C4EB0" w:rsidRPr="00BB6EA4">
        <w:t xml:space="preserve">Civil </w:t>
      </w:r>
      <w:r w:rsidR="00DE1040" w:rsidRPr="00BB6EA4">
        <w:t xml:space="preserve">del </w:t>
      </w:r>
      <w:r w:rsidR="000C4EB0" w:rsidRPr="00BB6EA4">
        <w:t xml:space="preserve">Circuito </w:t>
      </w:r>
      <w:r w:rsidR="00DE1040" w:rsidRPr="00BB6EA4">
        <w:t xml:space="preserve">de Bogotá, </w:t>
      </w:r>
      <w:r w:rsidR="003B58D7">
        <w:t xml:space="preserve"> </w:t>
      </w:r>
      <w:r w:rsidR="00710260">
        <w:t xml:space="preserve">presentada el 23 de marzo de 2010, </w:t>
      </w:r>
      <w:r w:rsidR="003B58D7">
        <w:t>corregida y luego sustituida</w:t>
      </w:r>
      <w:r w:rsidR="00C81F5D">
        <w:t xml:space="preserve"> (fls. 371 a 383, c.1)</w:t>
      </w:r>
      <w:r w:rsidR="003B58D7">
        <w:t xml:space="preserve">, </w:t>
      </w:r>
      <w:r w:rsidR="00DE1040" w:rsidRPr="00BB6EA4">
        <w:t>pretenden los demandantes</w:t>
      </w:r>
      <w:r w:rsidR="009D1522" w:rsidRPr="00BB6EA4">
        <w:t>:</w:t>
      </w:r>
    </w:p>
    <w:p w:rsidR="00E14789" w:rsidRPr="00BB6EA4" w:rsidRDefault="00E14789" w:rsidP="00757BF4">
      <w:pPr>
        <w:ind w:firstLine="709"/>
      </w:pPr>
    </w:p>
    <w:p w:rsidR="00F35B6C" w:rsidRDefault="009F7E87" w:rsidP="00F35B6C">
      <w:pPr>
        <w:pStyle w:val="Prrafodelista"/>
        <w:numPr>
          <w:ilvl w:val="0"/>
          <w:numId w:val="32"/>
        </w:numPr>
        <w:ind w:left="0" w:firstLine="1418"/>
        <w:rPr>
          <w:szCs w:val="28"/>
        </w:rPr>
      </w:pPr>
      <w:r w:rsidRPr="00F35B6C">
        <w:rPr>
          <w:szCs w:val="28"/>
        </w:rPr>
        <w:t>Q</w:t>
      </w:r>
      <w:r w:rsidR="00DE1040" w:rsidRPr="00F35B6C">
        <w:rPr>
          <w:szCs w:val="28"/>
        </w:rPr>
        <w:t>ue se declare que entre Luis Fernando Mejía Otero, Recolta Ltda., Mario Mejía Otero y Graciela Parra de Mejía existió una s</w:t>
      </w:r>
      <w:r w:rsidR="003B2E77">
        <w:rPr>
          <w:szCs w:val="28"/>
        </w:rPr>
        <w:t>ociedad de hecho a partir de 197</w:t>
      </w:r>
      <w:r w:rsidR="00DE1040" w:rsidRPr="00F35B6C">
        <w:rPr>
          <w:szCs w:val="28"/>
        </w:rPr>
        <w:t>7 hasta 1981,</w:t>
      </w:r>
      <w:r w:rsidR="00F35B6C">
        <w:rPr>
          <w:szCs w:val="28"/>
        </w:rPr>
        <w:t xml:space="preserve"> cuando se liquidó Recolta Ltda.</w:t>
      </w:r>
    </w:p>
    <w:p w:rsidR="00CC0526" w:rsidRDefault="00CC0526" w:rsidP="00CC0526">
      <w:pPr>
        <w:pStyle w:val="Prrafodelista"/>
        <w:ind w:left="1418"/>
        <w:rPr>
          <w:szCs w:val="28"/>
        </w:rPr>
      </w:pPr>
    </w:p>
    <w:p w:rsidR="00F35B6C" w:rsidRDefault="001414D1" w:rsidP="00F35B6C">
      <w:pPr>
        <w:pStyle w:val="Prrafodelista"/>
        <w:numPr>
          <w:ilvl w:val="0"/>
          <w:numId w:val="32"/>
        </w:numPr>
        <w:ind w:left="0" w:firstLine="1418"/>
        <w:rPr>
          <w:szCs w:val="28"/>
        </w:rPr>
      </w:pPr>
      <w:r>
        <w:rPr>
          <w:szCs w:val="28"/>
        </w:rPr>
        <w:t xml:space="preserve">Que se declare que </w:t>
      </w:r>
      <w:r w:rsidR="00EF7B3C">
        <w:rPr>
          <w:szCs w:val="28"/>
        </w:rPr>
        <w:t xml:space="preserve">Luis </w:t>
      </w:r>
      <w:r w:rsidR="00F35B6C">
        <w:rPr>
          <w:szCs w:val="28"/>
        </w:rPr>
        <w:t>Fernando Mejía Otero fue socio industrial de Recolta Ltda. a partir de 1977 hasta la fecha de su liquidación.</w:t>
      </w:r>
      <w:r w:rsidR="009D1522" w:rsidRPr="00F35B6C">
        <w:rPr>
          <w:szCs w:val="28"/>
        </w:rPr>
        <w:t xml:space="preserve"> </w:t>
      </w:r>
    </w:p>
    <w:p w:rsidR="00CC0526" w:rsidRDefault="00CC0526" w:rsidP="00CC0526">
      <w:pPr>
        <w:pStyle w:val="Prrafodelista"/>
        <w:ind w:left="1418"/>
        <w:rPr>
          <w:szCs w:val="28"/>
        </w:rPr>
      </w:pPr>
    </w:p>
    <w:p w:rsidR="002B2BE1" w:rsidRDefault="009F7E87" w:rsidP="002B2BE1">
      <w:pPr>
        <w:pStyle w:val="Prrafodelista"/>
        <w:numPr>
          <w:ilvl w:val="0"/>
          <w:numId w:val="32"/>
        </w:numPr>
        <w:ind w:left="0" w:firstLine="1418"/>
        <w:rPr>
          <w:szCs w:val="28"/>
        </w:rPr>
      </w:pPr>
      <w:r w:rsidRPr="00F35B6C">
        <w:rPr>
          <w:szCs w:val="28"/>
        </w:rPr>
        <w:t>Q</w:t>
      </w:r>
      <w:r w:rsidR="009D1522" w:rsidRPr="00F35B6C">
        <w:rPr>
          <w:szCs w:val="28"/>
        </w:rPr>
        <w:t xml:space="preserve">ue </w:t>
      </w:r>
      <w:r w:rsidR="00F35B6C">
        <w:rPr>
          <w:szCs w:val="28"/>
        </w:rPr>
        <w:t xml:space="preserve">se declare que </w:t>
      </w:r>
      <w:r w:rsidR="009D1522" w:rsidRPr="00F35B6C">
        <w:rPr>
          <w:szCs w:val="28"/>
        </w:rPr>
        <w:t>Luis Fernando Mejía Otero y Mario Mejía Otero fueron socios</w:t>
      </w:r>
      <w:r w:rsidR="001414D1">
        <w:rPr>
          <w:szCs w:val="28"/>
        </w:rPr>
        <w:t>,</w:t>
      </w:r>
      <w:r w:rsidR="009D1522" w:rsidRPr="00F35B6C">
        <w:rPr>
          <w:szCs w:val="28"/>
        </w:rPr>
        <w:t xml:space="preserve"> desde su constitución, de las sociedades Reusar Ltda., Envacar Ltda., Reciclar Ltda., Rena Ltda. y Renco</w:t>
      </w:r>
      <w:r w:rsidR="00F35B6C">
        <w:rPr>
          <w:szCs w:val="28"/>
        </w:rPr>
        <w:t xml:space="preserve"> Ltda. con participación igual</w:t>
      </w:r>
      <w:r w:rsidR="002B2BE1">
        <w:rPr>
          <w:szCs w:val="28"/>
        </w:rPr>
        <w:t xml:space="preserve"> en el capital.</w:t>
      </w:r>
    </w:p>
    <w:p w:rsidR="00CC0526" w:rsidRDefault="00CC0526" w:rsidP="00CC0526">
      <w:pPr>
        <w:pStyle w:val="Prrafodelista"/>
        <w:ind w:left="1418"/>
        <w:rPr>
          <w:szCs w:val="28"/>
        </w:rPr>
      </w:pPr>
    </w:p>
    <w:p w:rsidR="002B2BE1" w:rsidRDefault="003F1D82" w:rsidP="002B2BE1">
      <w:pPr>
        <w:pStyle w:val="Prrafodelista"/>
        <w:numPr>
          <w:ilvl w:val="0"/>
          <w:numId w:val="32"/>
        </w:numPr>
        <w:ind w:left="0" w:firstLine="1418"/>
        <w:rPr>
          <w:szCs w:val="28"/>
        </w:rPr>
      </w:pPr>
      <w:r w:rsidRPr="002B2BE1">
        <w:rPr>
          <w:szCs w:val="28"/>
        </w:rPr>
        <w:t xml:space="preserve">Que </w:t>
      </w:r>
      <w:r w:rsidR="002B2BE1">
        <w:rPr>
          <w:szCs w:val="28"/>
        </w:rPr>
        <w:t>se declare que Luis</w:t>
      </w:r>
      <w:r w:rsidRPr="002B2BE1">
        <w:rPr>
          <w:szCs w:val="28"/>
        </w:rPr>
        <w:t xml:space="preserve"> Fernando Mejía Otero fue socio de hecho de la sociedad Tamer Ltda. en la que a su vez eran socios Mario Mejía Otero en un 50%, María Fernanda Mejía Parra y Jorge Mario Mejía Parra cada uno con un 25%.</w:t>
      </w:r>
    </w:p>
    <w:p w:rsidR="00CC0526" w:rsidRDefault="00CC0526" w:rsidP="00CC0526">
      <w:pPr>
        <w:pStyle w:val="Prrafodelista"/>
        <w:ind w:left="1418"/>
        <w:rPr>
          <w:szCs w:val="28"/>
        </w:rPr>
      </w:pPr>
    </w:p>
    <w:p w:rsidR="00C000FD" w:rsidRDefault="003F1D82" w:rsidP="00C000FD">
      <w:pPr>
        <w:pStyle w:val="Prrafodelista"/>
        <w:numPr>
          <w:ilvl w:val="0"/>
          <w:numId w:val="32"/>
        </w:numPr>
        <w:ind w:left="0" w:firstLine="1418"/>
        <w:rPr>
          <w:szCs w:val="28"/>
        </w:rPr>
      </w:pPr>
      <w:r w:rsidRPr="002B2BE1">
        <w:rPr>
          <w:szCs w:val="28"/>
        </w:rPr>
        <w:t xml:space="preserve">Que </w:t>
      </w:r>
      <w:r w:rsidR="002B2BE1">
        <w:rPr>
          <w:szCs w:val="28"/>
        </w:rPr>
        <w:t xml:space="preserve">se declare que con los recursos de la sociedad de hecho conformada por </w:t>
      </w:r>
      <w:r w:rsidR="001414D1">
        <w:rPr>
          <w:szCs w:val="28"/>
        </w:rPr>
        <w:t xml:space="preserve">Luis </w:t>
      </w:r>
      <w:r w:rsidR="002B2BE1">
        <w:rPr>
          <w:szCs w:val="28"/>
        </w:rPr>
        <w:t xml:space="preserve">Fernando Mejía Otero y Recolta Ltda. </w:t>
      </w:r>
      <w:r w:rsidRPr="002B2BE1">
        <w:rPr>
          <w:szCs w:val="28"/>
        </w:rPr>
        <w:t xml:space="preserve">se adquirieron </w:t>
      </w:r>
      <w:r w:rsidR="002B2BE1">
        <w:rPr>
          <w:szCs w:val="28"/>
        </w:rPr>
        <w:t>dos inmuebles situados en Barranquilla, a saber:</w:t>
      </w:r>
      <w:r w:rsidR="00C000FD">
        <w:rPr>
          <w:szCs w:val="28"/>
        </w:rPr>
        <w:t xml:space="preserve"> uno</w:t>
      </w:r>
      <w:r w:rsidRPr="002B2BE1">
        <w:rPr>
          <w:szCs w:val="28"/>
        </w:rPr>
        <w:t xml:space="preserve"> de matrícula inmobiliaria</w:t>
      </w:r>
      <w:r w:rsidR="00C000FD">
        <w:rPr>
          <w:szCs w:val="28"/>
        </w:rPr>
        <w:t xml:space="preserve"> </w:t>
      </w:r>
      <w:r w:rsidRPr="002B2BE1">
        <w:rPr>
          <w:szCs w:val="28"/>
        </w:rPr>
        <w:t>040-33342</w:t>
      </w:r>
      <w:r w:rsidR="00C000FD">
        <w:rPr>
          <w:szCs w:val="28"/>
        </w:rPr>
        <w:t xml:space="preserve"> por escritura pública 2169 del 31 de agosto de 1977 y otro de matrícula</w:t>
      </w:r>
      <w:r w:rsidR="008B5CA4" w:rsidRPr="002B2BE1">
        <w:rPr>
          <w:szCs w:val="28"/>
        </w:rPr>
        <w:t xml:space="preserve"> 040-65849</w:t>
      </w:r>
      <w:r w:rsidR="00C000FD">
        <w:rPr>
          <w:szCs w:val="28"/>
        </w:rPr>
        <w:t xml:space="preserve"> por escritura pública 349 del 24 de febrero de 1978, ambos instrumentos otorgados en la </w:t>
      </w:r>
      <w:r w:rsidR="00851305">
        <w:rPr>
          <w:szCs w:val="28"/>
        </w:rPr>
        <w:t xml:space="preserve">Notaría Cuarta </w:t>
      </w:r>
      <w:r w:rsidR="00C000FD">
        <w:rPr>
          <w:szCs w:val="28"/>
        </w:rPr>
        <w:t>de esa  ciudad</w:t>
      </w:r>
      <w:r w:rsidR="008B5CA4" w:rsidRPr="002B2BE1">
        <w:rPr>
          <w:szCs w:val="28"/>
        </w:rPr>
        <w:t>.</w:t>
      </w:r>
    </w:p>
    <w:p w:rsidR="00CC0526" w:rsidRDefault="00CC0526" w:rsidP="00CC0526">
      <w:pPr>
        <w:pStyle w:val="Prrafodelista"/>
        <w:ind w:left="1418"/>
        <w:rPr>
          <w:szCs w:val="28"/>
        </w:rPr>
      </w:pPr>
    </w:p>
    <w:p w:rsidR="00D87DFF" w:rsidRDefault="008B5CA4" w:rsidP="00D87DFF">
      <w:pPr>
        <w:pStyle w:val="Prrafodelista"/>
        <w:numPr>
          <w:ilvl w:val="0"/>
          <w:numId w:val="32"/>
        </w:numPr>
        <w:ind w:left="0" w:firstLine="1418"/>
        <w:rPr>
          <w:szCs w:val="28"/>
        </w:rPr>
      </w:pPr>
      <w:r w:rsidRPr="00C000FD">
        <w:rPr>
          <w:szCs w:val="28"/>
        </w:rPr>
        <w:t xml:space="preserve">Que se declare que con los recursos de Reusar Ltda. </w:t>
      </w:r>
      <w:r w:rsidR="00C000FD">
        <w:rPr>
          <w:szCs w:val="28"/>
        </w:rPr>
        <w:t xml:space="preserve">de la cual eran socios Luis Fernando Mejía Otero y Mario Mejía Otero en proporciones estrictamente iguales, </w:t>
      </w:r>
      <w:r w:rsidRPr="00C000FD">
        <w:rPr>
          <w:szCs w:val="28"/>
        </w:rPr>
        <w:t xml:space="preserve">se adquirió el inmueble ubicado en la carrera 52  No. 39-37 sur de Bogotá, </w:t>
      </w:r>
      <w:r w:rsidR="00080C6F">
        <w:rPr>
          <w:szCs w:val="28"/>
        </w:rPr>
        <w:t xml:space="preserve">a nombre de Reusar Ltda. y Mario Mejía Otero por partes iguales, así: Reusar Ltda. por escritura 1622 del 31 de marzo de 1987 otorgada en la </w:t>
      </w:r>
      <w:r w:rsidR="00851305">
        <w:rPr>
          <w:szCs w:val="28"/>
        </w:rPr>
        <w:t xml:space="preserve">Notaría Primera </w:t>
      </w:r>
      <w:r w:rsidR="00080C6F">
        <w:rPr>
          <w:szCs w:val="28"/>
        </w:rPr>
        <w:t xml:space="preserve">de Bogotá y Mario Mejía Otero por escritura 14169 del 20 de agosto de 1982 otorgada en la </w:t>
      </w:r>
      <w:r w:rsidR="00851305">
        <w:rPr>
          <w:szCs w:val="28"/>
        </w:rPr>
        <w:t xml:space="preserve">Notaría </w:t>
      </w:r>
      <w:r w:rsidR="00080C6F">
        <w:rPr>
          <w:szCs w:val="28"/>
        </w:rPr>
        <w:t xml:space="preserve">32 de Bogotá. Este predio fue objeto de división material mediante escritura 5812 del 16 de diciembre de 1993 de la </w:t>
      </w:r>
      <w:r w:rsidR="00851305">
        <w:rPr>
          <w:szCs w:val="28"/>
        </w:rPr>
        <w:t xml:space="preserve">Notaría </w:t>
      </w:r>
      <w:r w:rsidR="00080C6F">
        <w:rPr>
          <w:szCs w:val="28"/>
        </w:rPr>
        <w:t>42 de Bogotá</w:t>
      </w:r>
      <w:r w:rsidR="00D87DFF">
        <w:rPr>
          <w:szCs w:val="28"/>
        </w:rPr>
        <w:t xml:space="preserve">, adjudicándosele el denominado “lote D” (matrícula 50S-40170265) a Mario Mejía Otero y el denominado “lote C” (matrícula 50S-40170266) a Reusar Ltda. la que luego lo enajenó a Mario Mejía Otero por escritura 2642 de 1994 otorgada en la mentada </w:t>
      </w:r>
      <w:r w:rsidR="00851305">
        <w:rPr>
          <w:szCs w:val="28"/>
        </w:rPr>
        <w:t xml:space="preserve">Notaría </w:t>
      </w:r>
      <w:r w:rsidR="00D87DFF">
        <w:rPr>
          <w:szCs w:val="28"/>
        </w:rPr>
        <w:t xml:space="preserve">42 sin que la </w:t>
      </w:r>
      <w:r w:rsidR="00851305">
        <w:rPr>
          <w:szCs w:val="28"/>
        </w:rPr>
        <w:t xml:space="preserve">Sociedad </w:t>
      </w:r>
      <w:r w:rsidR="00D87DFF">
        <w:rPr>
          <w:szCs w:val="28"/>
        </w:rPr>
        <w:t>recibiera pago alguno a título de precio.</w:t>
      </w:r>
    </w:p>
    <w:p w:rsidR="00CC0526" w:rsidRDefault="00CC0526" w:rsidP="00CC0526">
      <w:pPr>
        <w:pStyle w:val="Prrafodelista"/>
        <w:ind w:left="1418"/>
        <w:rPr>
          <w:szCs w:val="28"/>
        </w:rPr>
      </w:pPr>
    </w:p>
    <w:p w:rsidR="00040704" w:rsidRDefault="008B5CA4" w:rsidP="00D87DFF">
      <w:pPr>
        <w:pStyle w:val="Prrafodelista"/>
        <w:numPr>
          <w:ilvl w:val="0"/>
          <w:numId w:val="32"/>
        </w:numPr>
        <w:ind w:left="0" w:firstLine="1418"/>
        <w:rPr>
          <w:szCs w:val="28"/>
        </w:rPr>
      </w:pPr>
      <w:r w:rsidRPr="00D87DFF">
        <w:rPr>
          <w:szCs w:val="28"/>
        </w:rPr>
        <w:t>Que Envacar Ltda.</w:t>
      </w:r>
      <w:r w:rsidR="00851305">
        <w:rPr>
          <w:szCs w:val="28"/>
        </w:rPr>
        <w:t>,</w:t>
      </w:r>
      <w:r w:rsidR="0001616B" w:rsidRPr="00D87DFF">
        <w:rPr>
          <w:szCs w:val="28"/>
        </w:rPr>
        <w:t xml:space="preserve"> </w:t>
      </w:r>
      <w:r w:rsidR="00D87DFF">
        <w:rPr>
          <w:szCs w:val="28"/>
        </w:rPr>
        <w:t xml:space="preserve">de la cual eran socios Luis Fernando Mejía Otero y Mario Mejía Otero en proporciones iguales, </w:t>
      </w:r>
      <w:r w:rsidR="002C3D44">
        <w:rPr>
          <w:szCs w:val="28"/>
        </w:rPr>
        <w:t>adquirió</w:t>
      </w:r>
      <w:r w:rsidR="0001616B" w:rsidRPr="00D87DFF">
        <w:rPr>
          <w:szCs w:val="28"/>
        </w:rPr>
        <w:t xml:space="preserve">  los </w:t>
      </w:r>
      <w:r w:rsidR="00040704">
        <w:rPr>
          <w:szCs w:val="28"/>
        </w:rPr>
        <w:t xml:space="preserve">siguientes inmuebles: a) uno de </w:t>
      </w:r>
      <w:r w:rsidR="0001616B" w:rsidRPr="00D87DFF">
        <w:rPr>
          <w:szCs w:val="28"/>
        </w:rPr>
        <w:t>matrícula inmobiliaria 040-</w:t>
      </w:r>
      <w:r w:rsidR="00040704">
        <w:rPr>
          <w:szCs w:val="28"/>
        </w:rPr>
        <w:t>223298 situado en Barranquilla</w:t>
      </w:r>
      <w:r w:rsidR="007402F5">
        <w:rPr>
          <w:szCs w:val="28"/>
        </w:rPr>
        <w:t>,</w:t>
      </w:r>
      <w:r w:rsidR="00040704">
        <w:rPr>
          <w:szCs w:val="28"/>
        </w:rPr>
        <w:t xml:space="preserve"> que luego fue transferido a Mejía Parra Otero y C</w:t>
      </w:r>
      <w:r w:rsidR="007402F5">
        <w:rPr>
          <w:szCs w:val="28"/>
        </w:rPr>
        <w:t>ía.</w:t>
      </w:r>
      <w:r w:rsidR="00040704">
        <w:rPr>
          <w:szCs w:val="28"/>
        </w:rPr>
        <w:t xml:space="preserve"> S. en C. mediante escritura 5815 del 16 de diciembre de 1993 otorgada </w:t>
      </w:r>
      <w:r w:rsidR="00851305">
        <w:rPr>
          <w:szCs w:val="28"/>
        </w:rPr>
        <w:t xml:space="preserve">Notaría </w:t>
      </w:r>
      <w:r w:rsidR="00040704">
        <w:rPr>
          <w:szCs w:val="28"/>
        </w:rPr>
        <w:t>42 de</w:t>
      </w:r>
      <w:r w:rsidR="00851305">
        <w:rPr>
          <w:szCs w:val="28"/>
        </w:rPr>
        <w:t xml:space="preserve"> </w:t>
      </w:r>
      <w:r w:rsidR="00040704">
        <w:rPr>
          <w:szCs w:val="28"/>
        </w:rPr>
        <w:t xml:space="preserve">Bogotá. Y b) otro de matrícula inmobiliaria 060-115937 situado en Cartagena  </w:t>
      </w:r>
      <w:r w:rsidR="007402F5">
        <w:rPr>
          <w:szCs w:val="28"/>
        </w:rPr>
        <w:t xml:space="preserve">que </w:t>
      </w:r>
      <w:r w:rsidR="00040704">
        <w:rPr>
          <w:szCs w:val="28"/>
        </w:rPr>
        <w:t xml:space="preserve">luego </w:t>
      </w:r>
      <w:r w:rsidR="007402F5">
        <w:rPr>
          <w:szCs w:val="28"/>
        </w:rPr>
        <w:t xml:space="preserve">fue </w:t>
      </w:r>
      <w:r w:rsidR="00040704">
        <w:rPr>
          <w:szCs w:val="28"/>
        </w:rPr>
        <w:t>enajenado, por instruccion</w:t>
      </w:r>
      <w:r w:rsidR="007402F5">
        <w:rPr>
          <w:szCs w:val="28"/>
        </w:rPr>
        <w:t>es impartidas por Mario Mejía Otero</w:t>
      </w:r>
      <w:r w:rsidR="00040704">
        <w:rPr>
          <w:szCs w:val="28"/>
        </w:rPr>
        <w:t>, a María del Carmen Ospina Pérez, con quien tenía este una unión marital de</w:t>
      </w:r>
      <w:r w:rsidR="007402F5">
        <w:rPr>
          <w:szCs w:val="28"/>
        </w:rPr>
        <w:t xml:space="preserve"> hecho, por escritura pública 2833 del 18 de julio de 1994 otorgada en la </w:t>
      </w:r>
      <w:r w:rsidR="00851305">
        <w:rPr>
          <w:szCs w:val="28"/>
        </w:rPr>
        <w:t xml:space="preserve">Notaría Segunda </w:t>
      </w:r>
      <w:r w:rsidR="007402F5">
        <w:rPr>
          <w:szCs w:val="28"/>
        </w:rPr>
        <w:t>de Cartagena.</w:t>
      </w:r>
    </w:p>
    <w:p w:rsidR="00CC0526" w:rsidRDefault="00CC0526" w:rsidP="00CC0526">
      <w:pPr>
        <w:pStyle w:val="Prrafodelista"/>
        <w:ind w:left="1418"/>
        <w:rPr>
          <w:szCs w:val="28"/>
        </w:rPr>
      </w:pPr>
    </w:p>
    <w:p w:rsidR="00040704" w:rsidRDefault="007402F5" w:rsidP="00D87DFF">
      <w:pPr>
        <w:pStyle w:val="Prrafodelista"/>
        <w:numPr>
          <w:ilvl w:val="0"/>
          <w:numId w:val="32"/>
        </w:numPr>
        <w:ind w:left="0" w:firstLine="1418"/>
        <w:rPr>
          <w:szCs w:val="28"/>
        </w:rPr>
      </w:pPr>
      <w:r>
        <w:rPr>
          <w:szCs w:val="28"/>
        </w:rPr>
        <w:t>Que se declare que con los recursos de la sociedad de hecho conformada entre</w:t>
      </w:r>
      <w:r w:rsidR="00892278">
        <w:rPr>
          <w:szCs w:val="28"/>
        </w:rPr>
        <w:t xml:space="preserve"> Tam</w:t>
      </w:r>
      <w:r>
        <w:rPr>
          <w:szCs w:val="28"/>
        </w:rPr>
        <w:t>er Ltda. y Luis Fernando Mejía Otero (cada uno con una participación del 50 por ciento del capital) se adquirieron los siguientes inmuebles:</w:t>
      </w:r>
    </w:p>
    <w:p w:rsidR="007402F5" w:rsidRDefault="007402F5" w:rsidP="007402F5">
      <w:pPr>
        <w:pStyle w:val="Prrafodelista"/>
        <w:ind w:left="0" w:firstLine="2268"/>
        <w:rPr>
          <w:szCs w:val="28"/>
        </w:rPr>
      </w:pPr>
      <w:r>
        <w:rPr>
          <w:szCs w:val="28"/>
        </w:rPr>
        <w:t>a)</w:t>
      </w:r>
      <w:r w:rsidR="00892278">
        <w:rPr>
          <w:szCs w:val="28"/>
        </w:rPr>
        <w:tab/>
        <w:t>U</w:t>
      </w:r>
      <w:r>
        <w:rPr>
          <w:szCs w:val="28"/>
        </w:rPr>
        <w:t>n predio ubicado en la calle 10 No. 57-204 de Cartagena, con matrícula inmobiliaria 060-21322 adquirido a nombre de Mario Mejía Otero</w:t>
      </w:r>
      <w:r w:rsidR="00892278">
        <w:rPr>
          <w:szCs w:val="28"/>
        </w:rPr>
        <w:t xml:space="preserve"> con escritura 1815 del 27 de septiembre de 1988 otorgada en la </w:t>
      </w:r>
      <w:r w:rsidR="000004FF">
        <w:rPr>
          <w:szCs w:val="28"/>
        </w:rPr>
        <w:t xml:space="preserve">Notaría Tercera </w:t>
      </w:r>
      <w:r w:rsidR="00892278">
        <w:rPr>
          <w:szCs w:val="28"/>
        </w:rPr>
        <w:t>de esa ciudad, inmueble que luego fue adjudicado a Graciela Parra de Mejía en la disolución y liquidación de la social conyugal conformada a raíz del matrimonio con aquel.</w:t>
      </w:r>
    </w:p>
    <w:p w:rsidR="00892278" w:rsidRDefault="00892278" w:rsidP="007402F5">
      <w:pPr>
        <w:pStyle w:val="Prrafodelista"/>
        <w:ind w:left="0" w:firstLine="2268"/>
        <w:rPr>
          <w:szCs w:val="28"/>
        </w:rPr>
      </w:pPr>
      <w:r>
        <w:rPr>
          <w:szCs w:val="28"/>
        </w:rPr>
        <w:t>b)</w:t>
      </w:r>
      <w:r>
        <w:rPr>
          <w:szCs w:val="28"/>
        </w:rPr>
        <w:tab/>
      </w:r>
      <w:r w:rsidR="000004FF">
        <w:rPr>
          <w:szCs w:val="28"/>
        </w:rPr>
        <w:t xml:space="preserve">Un </w:t>
      </w:r>
      <w:r>
        <w:rPr>
          <w:szCs w:val="28"/>
        </w:rPr>
        <w:t>lote con su casa</w:t>
      </w:r>
      <w:r w:rsidR="000004FF">
        <w:rPr>
          <w:szCs w:val="28"/>
        </w:rPr>
        <w:t xml:space="preserve"> de</w:t>
      </w:r>
      <w:r>
        <w:rPr>
          <w:szCs w:val="28"/>
        </w:rPr>
        <w:t xml:space="preserve"> habitación situado en La Estrella (Antioquia) de matrícula 001-284979 adquirido a nombre de Tamer Ltda. con escritura 112 del ocho de febrero de 1979 de la </w:t>
      </w:r>
      <w:r w:rsidR="000004FF">
        <w:rPr>
          <w:szCs w:val="28"/>
        </w:rPr>
        <w:t xml:space="preserve">Notaría Primera </w:t>
      </w:r>
      <w:r>
        <w:rPr>
          <w:szCs w:val="28"/>
        </w:rPr>
        <w:t>de Envigado.</w:t>
      </w:r>
    </w:p>
    <w:p w:rsidR="00892278" w:rsidRDefault="00892278" w:rsidP="007402F5">
      <w:pPr>
        <w:pStyle w:val="Prrafodelista"/>
        <w:ind w:left="0" w:firstLine="2268"/>
        <w:rPr>
          <w:szCs w:val="28"/>
        </w:rPr>
      </w:pPr>
      <w:r>
        <w:rPr>
          <w:szCs w:val="28"/>
        </w:rPr>
        <w:t>c)</w:t>
      </w:r>
      <w:r>
        <w:rPr>
          <w:szCs w:val="28"/>
        </w:rPr>
        <w:tab/>
      </w:r>
      <w:r w:rsidR="000004FF">
        <w:rPr>
          <w:szCs w:val="28"/>
        </w:rPr>
        <w:t xml:space="preserve">Un </w:t>
      </w:r>
      <w:r w:rsidR="004729BC">
        <w:rPr>
          <w:szCs w:val="28"/>
        </w:rPr>
        <w:t xml:space="preserve">predio situado </w:t>
      </w:r>
      <w:r>
        <w:rPr>
          <w:szCs w:val="28"/>
        </w:rPr>
        <w:t>e</w:t>
      </w:r>
      <w:r w:rsidR="004729BC">
        <w:rPr>
          <w:szCs w:val="28"/>
        </w:rPr>
        <w:t>n</w:t>
      </w:r>
      <w:r>
        <w:rPr>
          <w:szCs w:val="28"/>
        </w:rPr>
        <w:t xml:space="preserve"> Mosquera (Cundinamarca) de matrícula 50C-589076  adquirido por la sociedad Tamer Ltda.</w:t>
      </w:r>
      <w:r w:rsidR="00104965">
        <w:rPr>
          <w:szCs w:val="28"/>
        </w:rPr>
        <w:t xml:space="preserve"> la que después lo transfirió a Mejía Parra Otero y Cía. S. en C.</w:t>
      </w:r>
    </w:p>
    <w:p w:rsidR="00104965" w:rsidRDefault="00104965" w:rsidP="007402F5">
      <w:pPr>
        <w:pStyle w:val="Prrafodelista"/>
        <w:ind w:left="0" w:firstLine="2268"/>
        <w:rPr>
          <w:szCs w:val="28"/>
        </w:rPr>
      </w:pPr>
      <w:r>
        <w:rPr>
          <w:szCs w:val="28"/>
        </w:rPr>
        <w:t>d)</w:t>
      </w:r>
      <w:r>
        <w:rPr>
          <w:szCs w:val="28"/>
        </w:rPr>
        <w:tab/>
        <w:t xml:space="preserve">Con los recursos obtenidos con una negociación realizada con las sociedades Metalibec S.A. y Van Leer S.A. y a nombre de Mario Mejía Otero, un predio denominado “Lote Terrazas Nos. 9 y 10” sobre el cual éste construyó una casa con los mismos recursos mencionados, inmueble </w:t>
      </w:r>
      <w:r w:rsidR="004729BC">
        <w:rPr>
          <w:szCs w:val="28"/>
        </w:rPr>
        <w:t>de</w:t>
      </w:r>
      <w:r>
        <w:rPr>
          <w:szCs w:val="28"/>
        </w:rPr>
        <w:t xml:space="preserve"> matrícula 070-104106 de la oficina de registro instrumentos públicos de Tunja</w:t>
      </w:r>
      <w:r w:rsidR="004729BC">
        <w:rPr>
          <w:szCs w:val="28"/>
        </w:rPr>
        <w:t xml:space="preserve">, </w:t>
      </w:r>
      <w:r>
        <w:rPr>
          <w:szCs w:val="28"/>
        </w:rPr>
        <w:t>utilizado por Mario Mejía Otero para pagar sus gananciales a la señora Jacqueline Borrero Martelo a quien se le adjudicó</w:t>
      </w:r>
      <w:r w:rsidR="006B55E9">
        <w:rPr>
          <w:szCs w:val="28"/>
        </w:rPr>
        <w:t xml:space="preserve"> en la liquidación de la sociedad de hecho conformada entre aquél y esta en razón de la unión marital de</w:t>
      </w:r>
      <w:r w:rsidR="004729BC">
        <w:rPr>
          <w:szCs w:val="28"/>
        </w:rPr>
        <w:t xml:space="preserve"> hecho</w:t>
      </w:r>
      <w:r w:rsidR="006B55E9">
        <w:rPr>
          <w:szCs w:val="28"/>
        </w:rPr>
        <w:t xml:space="preserve"> existente, liquidación consignada en la escritura 1166 del 11 de mayo de 2009 otorgada en la </w:t>
      </w:r>
      <w:r w:rsidR="000004FF">
        <w:rPr>
          <w:szCs w:val="28"/>
        </w:rPr>
        <w:t xml:space="preserve">Notaría </w:t>
      </w:r>
      <w:r w:rsidR="006B55E9">
        <w:rPr>
          <w:szCs w:val="28"/>
        </w:rPr>
        <w:t>11 de Bogotá.</w:t>
      </w:r>
    </w:p>
    <w:p w:rsidR="008B5CA4" w:rsidRDefault="00C563B7" w:rsidP="00D87DFF">
      <w:pPr>
        <w:pStyle w:val="Prrafodelista"/>
        <w:numPr>
          <w:ilvl w:val="0"/>
          <w:numId w:val="32"/>
        </w:numPr>
        <w:ind w:left="0" w:firstLine="1418"/>
        <w:rPr>
          <w:szCs w:val="28"/>
        </w:rPr>
      </w:pPr>
      <w:r>
        <w:rPr>
          <w:szCs w:val="28"/>
        </w:rPr>
        <w:t>“</w:t>
      </w:r>
      <w:r w:rsidR="006B55E9" w:rsidRPr="00C563B7">
        <w:rPr>
          <w:i/>
          <w:szCs w:val="28"/>
        </w:rPr>
        <w:t xml:space="preserve">Que se declare que al hacerse la liquidación de las sociedades de hecho </w:t>
      </w:r>
      <w:r w:rsidRPr="00C563B7">
        <w:rPr>
          <w:i/>
          <w:szCs w:val="28"/>
        </w:rPr>
        <w:t>a las que hice referencia en el capítulo de hecho</w:t>
      </w:r>
      <w:r w:rsidR="00B27EC8">
        <w:rPr>
          <w:i/>
          <w:szCs w:val="28"/>
        </w:rPr>
        <w:t>s</w:t>
      </w:r>
      <w:r w:rsidRPr="00C563B7">
        <w:rPr>
          <w:i/>
          <w:szCs w:val="28"/>
        </w:rPr>
        <w:t xml:space="preserve"> y en las pretensiones, </w:t>
      </w:r>
      <w:r w:rsidR="006B55E9" w:rsidRPr="00C563B7">
        <w:rPr>
          <w:i/>
          <w:szCs w:val="28"/>
        </w:rPr>
        <w:t xml:space="preserve">y de las sociedades </w:t>
      </w:r>
      <w:r w:rsidRPr="00C563B7">
        <w:rPr>
          <w:i/>
          <w:szCs w:val="28"/>
        </w:rPr>
        <w:t>legalmente constituidas REUSAR LTDA., RECICLAR LTDA., RENA LTDA., ENVACAR LTDA. y RENCO LTDA</w:t>
      </w:r>
      <w:r w:rsidR="006B55E9" w:rsidRPr="00C563B7">
        <w:rPr>
          <w:i/>
          <w:szCs w:val="28"/>
        </w:rPr>
        <w:t xml:space="preserve">., </w:t>
      </w:r>
      <w:r w:rsidRPr="00C563B7">
        <w:rPr>
          <w:i/>
          <w:szCs w:val="28"/>
        </w:rPr>
        <w:t xml:space="preserve">el socio </w:t>
      </w:r>
      <w:r w:rsidR="006B55E9" w:rsidRPr="00C563B7">
        <w:rPr>
          <w:i/>
          <w:szCs w:val="28"/>
        </w:rPr>
        <w:t xml:space="preserve">Mario Mejía Otero así como las sociedades que fueron parte de las sociedades de hecho referidas, </w:t>
      </w:r>
      <w:r w:rsidRPr="00C563B7">
        <w:rPr>
          <w:i/>
          <w:szCs w:val="28"/>
        </w:rPr>
        <w:t>ya sea en forma directa</w:t>
      </w:r>
      <w:r w:rsidR="006B55E9" w:rsidRPr="00C563B7">
        <w:rPr>
          <w:i/>
          <w:szCs w:val="28"/>
        </w:rPr>
        <w:t xml:space="preserve"> o a través de terceras personas naturales o jurídicas vinculadas se apropiaron indebidamente sin que existiera justo título ni causa legal de los siguientes bienes inmuebles</w:t>
      </w:r>
      <w:r w:rsidR="006B55E9">
        <w:rPr>
          <w:szCs w:val="28"/>
        </w:rPr>
        <w:t>:</w:t>
      </w:r>
      <w:r>
        <w:rPr>
          <w:szCs w:val="28"/>
        </w:rPr>
        <w:t>” (f. 383, c. 1)</w:t>
      </w:r>
    </w:p>
    <w:p w:rsidR="00B850DE" w:rsidRDefault="00B850DE" w:rsidP="00B850DE">
      <w:pPr>
        <w:pStyle w:val="Prrafodelista"/>
        <w:ind w:left="0" w:firstLine="2268"/>
        <w:rPr>
          <w:szCs w:val="28"/>
        </w:rPr>
      </w:pPr>
      <w:r>
        <w:rPr>
          <w:szCs w:val="28"/>
        </w:rPr>
        <w:t>a)</w:t>
      </w:r>
      <w:r>
        <w:rPr>
          <w:szCs w:val="28"/>
        </w:rPr>
        <w:tab/>
      </w:r>
      <w:r w:rsidR="00AE3BCB">
        <w:rPr>
          <w:szCs w:val="28"/>
        </w:rPr>
        <w:t xml:space="preserve">Lote </w:t>
      </w:r>
      <w:r>
        <w:rPr>
          <w:szCs w:val="28"/>
        </w:rPr>
        <w:t>ubicado en Mosquera (Cundinamarca) de matrícula 50 C-589076</w:t>
      </w:r>
      <w:r w:rsidR="00AE3BCB">
        <w:rPr>
          <w:szCs w:val="28"/>
        </w:rPr>
        <w:t>.</w:t>
      </w:r>
    </w:p>
    <w:p w:rsidR="00B850DE" w:rsidRDefault="00B850DE" w:rsidP="00B850DE">
      <w:pPr>
        <w:pStyle w:val="Prrafodelista"/>
        <w:ind w:left="0" w:firstLine="2268"/>
        <w:rPr>
          <w:szCs w:val="28"/>
        </w:rPr>
      </w:pPr>
      <w:r>
        <w:rPr>
          <w:szCs w:val="28"/>
        </w:rPr>
        <w:t>b)</w:t>
      </w:r>
      <w:r>
        <w:rPr>
          <w:szCs w:val="28"/>
        </w:rPr>
        <w:tab/>
      </w:r>
      <w:r w:rsidR="00AE3BCB">
        <w:rPr>
          <w:szCs w:val="28"/>
        </w:rPr>
        <w:t xml:space="preserve">Lote </w:t>
      </w:r>
      <w:r>
        <w:rPr>
          <w:szCs w:val="28"/>
        </w:rPr>
        <w:t>denominado “</w:t>
      </w:r>
      <w:r w:rsidR="004729BC">
        <w:rPr>
          <w:szCs w:val="28"/>
        </w:rPr>
        <w:t xml:space="preserve">Terrazas </w:t>
      </w:r>
      <w:r>
        <w:rPr>
          <w:szCs w:val="28"/>
        </w:rPr>
        <w:t>nueve y diez”</w:t>
      </w:r>
      <w:r w:rsidR="004729BC">
        <w:rPr>
          <w:szCs w:val="28"/>
        </w:rPr>
        <w:t xml:space="preserve"> de matrícula 070</w:t>
      </w:r>
      <w:r w:rsidR="00AE3BCB">
        <w:rPr>
          <w:szCs w:val="28"/>
        </w:rPr>
        <w:t>-10 4106 de la oficina de registro de instrumentos públicos de Tunja.</w:t>
      </w:r>
    </w:p>
    <w:p w:rsidR="00AE3BCB" w:rsidRDefault="00AE3BCB" w:rsidP="00B850DE">
      <w:pPr>
        <w:pStyle w:val="Prrafodelista"/>
        <w:ind w:left="0" w:firstLine="2268"/>
        <w:rPr>
          <w:szCs w:val="28"/>
        </w:rPr>
      </w:pPr>
      <w:r>
        <w:rPr>
          <w:szCs w:val="28"/>
        </w:rPr>
        <w:t>c)</w:t>
      </w:r>
      <w:r>
        <w:rPr>
          <w:szCs w:val="28"/>
        </w:rPr>
        <w:tab/>
        <w:t>Apartamento 1302 ubicado en Cartagena de matrícula 060-115937.</w:t>
      </w:r>
    </w:p>
    <w:p w:rsidR="00AE3BCB" w:rsidRDefault="00AE3BCB" w:rsidP="00B850DE">
      <w:pPr>
        <w:pStyle w:val="Prrafodelista"/>
        <w:ind w:left="0" w:firstLine="2268"/>
        <w:rPr>
          <w:szCs w:val="28"/>
        </w:rPr>
      </w:pPr>
      <w:r>
        <w:rPr>
          <w:szCs w:val="28"/>
        </w:rPr>
        <w:t>d)</w:t>
      </w:r>
      <w:r>
        <w:rPr>
          <w:szCs w:val="28"/>
        </w:rPr>
        <w:tab/>
        <w:t>Lote d</w:t>
      </w:r>
      <w:r w:rsidR="004729BC">
        <w:rPr>
          <w:szCs w:val="28"/>
        </w:rPr>
        <w:t>e terreno junto con la casa en é</w:t>
      </w:r>
      <w:r>
        <w:rPr>
          <w:szCs w:val="28"/>
        </w:rPr>
        <w:t>l construida situado en La Estrella (Antioquia) de matrícula 001-84979.</w:t>
      </w:r>
    </w:p>
    <w:p w:rsidR="00AE3BCB" w:rsidRDefault="00AE3BCB" w:rsidP="00B850DE">
      <w:pPr>
        <w:pStyle w:val="Prrafodelista"/>
        <w:ind w:left="0" w:firstLine="2268"/>
        <w:rPr>
          <w:szCs w:val="28"/>
        </w:rPr>
      </w:pPr>
      <w:r>
        <w:rPr>
          <w:szCs w:val="28"/>
        </w:rPr>
        <w:t>e)</w:t>
      </w:r>
      <w:r>
        <w:rPr>
          <w:szCs w:val="28"/>
        </w:rPr>
        <w:tab/>
        <w:t>Lote situado en Soledad (Atlántico) de matrícula 040-65849</w:t>
      </w:r>
    </w:p>
    <w:p w:rsidR="00AE3BCB" w:rsidRDefault="00AE3BCB" w:rsidP="00B850DE">
      <w:pPr>
        <w:pStyle w:val="Prrafodelista"/>
        <w:ind w:left="0" w:firstLine="2268"/>
        <w:rPr>
          <w:szCs w:val="28"/>
        </w:rPr>
      </w:pPr>
      <w:r>
        <w:rPr>
          <w:szCs w:val="28"/>
        </w:rPr>
        <w:t>f)</w:t>
      </w:r>
      <w:r>
        <w:rPr>
          <w:szCs w:val="28"/>
        </w:rPr>
        <w:tab/>
        <w:t>Predio situado en Soledad (Atlántico) de matrícula 040-223 298</w:t>
      </w:r>
    </w:p>
    <w:p w:rsidR="00AE3BCB" w:rsidRDefault="00AE3BCB" w:rsidP="00B850DE">
      <w:pPr>
        <w:pStyle w:val="Prrafodelista"/>
        <w:ind w:left="0" w:firstLine="2268"/>
        <w:rPr>
          <w:szCs w:val="28"/>
        </w:rPr>
      </w:pPr>
      <w:r>
        <w:rPr>
          <w:szCs w:val="28"/>
        </w:rPr>
        <w:t>g)</w:t>
      </w:r>
      <w:r>
        <w:rPr>
          <w:szCs w:val="28"/>
        </w:rPr>
        <w:tab/>
      </w:r>
      <w:r w:rsidR="004729BC">
        <w:rPr>
          <w:szCs w:val="28"/>
        </w:rPr>
        <w:t xml:space="preserve">Casa </w:t>
      </w:r>
      <w:r w:rsidR="00975EE8">
        <w:rPr>
          <w:szCs w:val="28"/>
        </w:rPr>
        <w:t>lote situada en Barranquilla de matrícula 040-33342</w:t>
      </w:r>
    </w:p>
    <w:p w:rsidR="00975EE8" w:rsidRDefault="00975EE8" w:rsidP="00B850DE">
      <w:pPr>
        <w:pStyle w:val="Prrafodelista"/>
        <w:ind w:left="0" w:firstLine="2268"/>
        <w:rPr>
          <w:szCs w:val="28"/>
        </w:rPr>
      </w:pPr>
      <w:r>
        <w:rPr>
          <w:szCs w:val="28"/>
        </w:rPr>
        <w:t>h)</w:t>
      </w:r>
      <w:r>
        <w:rPr>
          <w:szCs w:val="28"/>
        </w:rPr>
        <w:tab/>
      </w:r>
      <w:r w:rsidR="004729BC">
        <w:rPr>
          <w:szCs w:val="28"/>
        </w:rPr>
        <w:t xml:space="preserve">Lote </w:t>
      </w:r>
      <w:r>
        <w:rPr>
          <w:szCs w:val="28"/>
        </w:rPr>
        <w:t>situado en Bogotá de matrícula 50S-40170266</w:t>
      </w:r>
    </w:p>
    <w:p w:rsidR="00975EE8" w:rsidRDefault="00975EE8" w:rsidP="00B850DE">
      <w:pPr>
        <w:pStyle w:val="Prrafodelista"/>
        <w:ind w:left="0" w:firstLine="2268"/>
        <w:rPr>
          <w:szCs w:val="28"/>
        </w:rPr>
      </w:pPr>
      <w:r>
        <w:rPr>
          <w:szCs w:val="28"/>
        </w:rPr>
        <w:t>i)</w:t>
      </w:r>
      <w:r>
        <w:rPr>
          <w:szCs w:val="28"/>
        </w:rPr>
        <w:tab/>
      </w:r>
      <w:r w:rsidR="004729BC">
        <w:rPr>
          <w:szCs w:val="28"/>
        </w:rPr>
        <w:t xml:space="preserve">Lote </w:t>
      </w:r>
      <w:r>
        <w:rPr>
          <w:szCs w:val="28"/>
        </w:rPr>
        <w:t>situado en Bogotá de matrícula 50 S-40170265</w:t>
      </w:r>
    </w:p>
    <w:p w:rsidR="00975EE8" w:rsidRDefault="00975EE8" w:rsidP="00B850DE">
      <w:pPr>
        <w:pStyle w:val="Prrafodelista"/>
        <w:ind w:left="0" w:firstLine="2268"/>
        <w:rPr>
          <w:szCs w:val="28"/>
        </w:rPr>
      </w:pPr>
      <w:r>
        <w:rPr>
          <w:szCs w:val="28"/>
        </w:rPr>
        <w:t>j)</w:t>
      </w:r>
      <w:r>
        <w:rPr>
          <w:szCs w:val="28"/>
        </w:rPr>
        <w:tab/>
      </w:r>
      <w:r w:rsidR="004729BC">
        <w:rPr>
          <w:szCs w:val="28"/>
        </w:rPr>
        <w:t xml:space="preserve">Lote </w:t>
      </w:r>
      <w:r>
        <w:rPr>
          <w:szCs w:val="28"/>
        </w:rPr>
        <w:t>situado en Cartagena de matrícula 060-21322</w:t>
      </w:r>
      <w:r w:rsidR="004729BC">
        <w:rPr>
          <w:szCs w:val="28"/>
        </w:rPr>
        <w:t>.</w:t>
      </w:r>
    </w:p>
    <w:p w:rsidR="004729BC" w:rsidRDefault="004729BC" w:rsidP="00B850DE">
      <w:pPr>
        <w:pStyle w:val="Prrafodelista"/>
        <w:ind w:left="0" w:firstLine="2268"/>
        <w:rPr>
          <w:szCs w:val="28"/>
        </w:rPr>
      </w:pPr>
    </w:p>
    <w:p w:rsidR="00B850DE" w:rsidRDefault="00975EE8" w:rsidP="00D87DFF">
      <w:pPr>
        <w:pStyle w:val="Prrafodelista"/>
        <w:numPr>
          <w:ilvl w:val="0"/>
          <w:numId w:val="32"/>
        </w:numPr>
        <w:ind w:left="0" w:firstLine="1418"/>
        <w:rPr>
          <w:szCs w:val="28"/>
        </w:rPr>
      </w:pPr>
      <w:r>
        <w:rPr>
          <w:szCs w:val="28"/>
        </w:rPr>
        <w:t>Que se declare que la totalidad de los bienes antes descritos, dado el origen de los recursos con que fueron adquiridos, son de propiedad en un 50</w:t>
      </w:r>
      <w:r w:rsidR="00C563B7">
        <w:rPr>
          <w:szCs w:val="28"/>
        </w:rPr>
        <w:t>%</w:t>
      </w:r>
      <w:r>
        <w:rPr>
          <w:szCs w:val="28"/>
        </w:rPr>
        <w:t xml:space="preserve"> de Luis Fernando Mejía Otero en relación con aquellos que fueron adquiridos con recursos de las sociedades de hecho </w:t>
      </w:r>
      <w:r w:rsidRPr="004729BC">
        <w:rPr>
          <w:i/>
          <w:szCs w:val="28"/>
        </w:rPr>
        <w:t>en las que este fue parte.</w:t>
      </w:r>
      <w:r>
        <w:rPr>
          <w:szCs w:val="28"/>
        </w:rPr>
        <w:t xml:space="preserve"> Que los bienes adquiridos con recursos de Reusar Ltda. son de propiedad única y exclusiva de esta. Y que</w:t>
      </w:r>
      <w:r w:rsidR="00E4088D">
        <w:rPr>
          <w:szCs w:val="28"/>
        </w:rPr>
        <w:t xml:space="preserve"> los inmuebles adquiridos con recursos de </w:t>
      </w:r>
      <w:r w:rsidR="003242CE">
        <w:rPr>
          <w:szCs w:val="28"/>
        </w:rPr>
        <w:t>Envacar Ltda.</w:t>
      </w:r>
      <w:r w:rsidR="00E4088D">
        <w:rPr>
          <w:szCs w:val="28"/>
        </w:rPr>
        <w:t xml:space="preserve"> la cual se encuentra disuelta y liquidada y de la que eran socios en proporciones iguales </w:t>
      </w:r>
      <w:r w:rsidR="003242CE">
        <w:rPr>
          <w:szCs w:val="28"/>
        </w:rPr>
        <w:t>Luis</w:t>
      </w:r>
      <w:r w:rsidR="00E4088D">
        <w:rPr>
          <w:szCs w:val="28"/>
        </w:rPr>
        <w:t xml:space="preserve"> Fernando Mejía Otero y Mario Mejía Otero son de propiedad de ambos socios en común y proindiviso y por partes iguales.</w:t>
      </w:r>
    </w:p>
    <w:p w:rsidR="00C213DD" w:rsidRDefault="00C213DD" w:rsidP="00C213DD">
      <w:pPr>
        <w:pStyle w:val="Prrafodelista"/>
        <w:ind w:left="1418"/>
        <w:rPr>
          <w:szCs w:val="28"/>
        </w:rPr>
      </w:pPr>
    </w:p>
    <w:p w:rsidR="007B13F9" w:rsidRDefault="00E4088D" w:rsidP="007B13F9">
      <w:pPr>
        <w:pStyle w:val="Prrafodelista"/>
        <w:numPr>
          <w:ilvl w:val="0"/>
          <w:numId w:val="32"/>
        </w:numPr>
        <w:ind w:left="0" w:firstLine="1276"/>
        <w:rPr>
          <w:szCs w:val="28"/>
        </w:rPr>
      </w:pPr>
      <w:r w:rsidRPr="00E4088D">
        <w:rPr>
          <w:szCs w:val="28"/>
        </w:rPr>
        <w:t>Que se declare que los actos de transferencia de dominio</w:t>
      </w:r>
      <w:r w:rsidR="00E7405D" w:rsidRPr="00E4088D">
        <w:rPr>
          <w:szCs w:val="28"/>
        </w:rPr>
        <w:t xml:space="preserve"> con los cuales se </w:t>
      </w:r>
      <w:r>
        <w:rPr>
          <w:szCs w:val="28"/>
        </w:rPr>
        <w:t>desconocieron los derechos de lo</w:t>
      </w:r>
      <w:r w:rsidR="00E7405D" w:rsidRPr="00E4088D">
        <w:rPr>
          <w:szCs w:val="28"/>
        </w:rPr>
        <w:t>s demandantes en los inmuebles mencionados son absolutamente nulos, carecen de causa legal y de justo título y se traducen en un enriquecimiento sin causa en favor de quienes figuran como titulares de su dominio, por no haber pagado su precio, en detrimento patrimonial de los demandantes. Por esa razón, dichos inmuebles deben regresar a sus verdaderos propietarios.</w:t>
      </w:r>
    </w:p>
    <w:p w:rsidR="00C213DD" w:rsidRDefault="00C213DD" w:rsidP="00C213DD">
      <w:pPr>
        <w:pStyle w:val="Prrafodelista"/>
        <w:ind w:left="1276"/>
        <w:rPr>
          <w:szCs w:val="28"/>
        </w:rPr>
      </w:pPr>
    </w:p>
    <w:p w:rsidR="007B13F9" w:rsidRDefault="00E7405D" w:rsidP="007B13F9">
      <w:pPr>
        <w:pStyle w:val="Prrafodelista"/>
        <w:numPr>
          <w:ilvl w:val="0"/>
          <w:numId w:val="32"/>
        </w:numPr>
        <w:ind w:left="0" w:firstLine="1276"/>
        <w:rPr>
          <w:szCs w:val="28"/>
        </w:rPr>
      </w:pPr>
      <w:r w:rsidRPr="007B13F9">
        <w:rPr>
          <w:szCs w:val="28"/>
        </w:rPr>
        <w:t>Que se condene a los demandados a pagar el valor de los frutos civiles naturales de esos inmuebles</w:t>
      </w:r>
      <w:r w:rsidR="007B13F9">
        <w:rPr>
          <w:szCs w:val="28"/>
        </w:rPr>
        <w:t>.</w:t>
      </w:r>
    </w:p>
    <w:p w:rsidR="00C213DD" w:rsidRDefault="00C213DD" w:rsidP="00C213DD">
      <w:pPr>
        <w:pStyle w:val="Prrafodelista"/>
        <w:ind w:left="1276"/>
        <w:rPr>
          <w:szCs w:val="28"/>
        </w:rPr>
      </w:pPr>
    </w:p>
    <w:p w:rsidR="007B13F9" w:rsidRDefault="007B13F9" w:rsidP="007B13F9">
      <w:pPr>
        <w:pStyle w:val="Prrafodelista"/>
        <w:numPr>
          <w:ilvl w:val="0"/>
          <w:numId w:val="32"/>
        </w:numPr>
        <w:ind w:left="0" w:firstLine="1276"/>
        <w:rPr>
          <w:szCs w:val="28"/>
        </w:rPr>
      </w:pPr>
      <w:r>
        <w:rPr>
          <w:szCs w:val="28"/>
        </w:rPr>
        <w:t xml:space="preserve">Que se condene a los demandados al </w:t>
      </w:r>
      <w:r w:rsidR="00C213DD">
        <w:rPr>
          <w:szCs w:val="28"/>
        </w:rPr>
        <w:t xml:space="preserve">pago </w:t>
      </w:r>
      <w:r>
        <w:rPr>
          <w:szCs w:val="28"/>
        </w:rPr>
        <w:t xml:space="preserve">de </w:t>
      </w:r>
      <w:r w:rsidR="00E7405D" w:rsidRPr="007B13F9">
        <w:rPr>
          <w:szCs w:val="28"/>
        </w:rPr>
        <w:t>los perjuicios materiales</w:t>
      </w:r>
      <w:r w:rsidR="00396A5F">
        <w:rPr>
          <w:szCs w:val="28"/>
        </w:rPr>
        <w:t>.</w:t>
      </w:r>
    </w:p>
    <w:p w:rsidR="00C213DD" w:rsidRDefault="00C213DD" w:rsidP="00C213DD">
      <w:pPr>
        <w:pStyle w:val="Prrafodelista"/>
        <w:ind w:left="1276"/>
        <w:rPr>
          <w:szCs w:val="28"/>
        </w:rPr>
      </w:pPr>
    </w:p>
    <w:p w:rsidR="00C213DD" w:rsidRDefault="007B13F9" w:rsidP="00DD2CCA">
      <w:pPr>
        <w:pStyle w:val="Prrafodelista"/>
        <w:numPr>
          <w:ilvl w:val="0"/>
          <w:numId w:val="32"/>
        </w:numPr>
        <w:ind w:left="0" w:firstLine="1276"/>
        <w:rPr>
          <w:szCs w:val="28"/>
        </w:rPr>
      </w:pPr>
      <w:r w:rsidRPr="00C213DD">
        <w:rPr>
          <w:szCs w:val="28"/>
        </w:rPr>
        <w:t xml:space="preserve">Que se condene a los demandados </w:t>
      </w:r>
      <w:r w:rsidR="00C213DD">
        <w:rPr>
          <w:szCs w:val="28"/>
        </w:rPr>
        <w:t xml:space="preserve">al pago de </w:t>
      </w:r>
      <w:r w:rsidRPr="00C213DD">
        <w:rPr>
          <w:szCs w:val="28"/>
        </w:rPr>
        <w:t>perjuicios morales</w:t>
      </w:r>
      <w:r w:rsidR="00396A5F" w:rsidRPr="00C213DD">
        <w:rPr>
          <w:szCs w:val="28"/>
        </w:rPr>
        <w:t>.</w:t>
      </w:r>
    </w:p>
    <w:p w:rsidR="00C213DD" w:rsidRDefault="00C213DD" w:rsidP="00C213DD">
      <w:pPr>
        <w:pStyle w:val="Prrafodelista"/>
        <w:ind w:left="1276"/>
        <w:rPr>
          <w:szCs w:val="28"/>
        </w:rPr>
      </w:pPr>
    </w:p>
    <w:p w:rsidR="007B13F9" w:rsidRDefault="003242CE" w:rsidP="00DD2CCA">
      <w:pPr>
        <w:pStyle w:val="Prrafodelista"/>
        <w:numPr>
          <w:ilvl w:val="0"/>
          <w:numId w:val="32"/>
        </w:numPr>
        <w:ind w:left="0" w:firstLine="1276"/>
        <w:rPr>
          <w:szCs w:val="28"/>
        </w:rPr>
      </w:pPr>
      <w:r w:rsidRPr="00C213DD">
        <w:rPr>
          <w:szCs w:val="28"/>
        </w:rPr>
        <w:t xml:space="preserve">Que </w:t>
      </w:r>
      <w:r w:rsidR="007B13F9" w:rsidRPr="00C213DD">
        <w:rPr>
          <w:szCs w:val="28"/>
        </w:rPr>
        <w:t xml:space="preserve">se condene </w:t>
      </w:r>
      <w:r w:rsidR="00704DDB">
        <w:rPr>
          <w:szCs w:val="28"/>
        </w:rPr>
        <w:t xml:space="preserve">a </w:t>
      </w:r>
      <w:r w:rsidR="007B13F9" w:rsidRPr="00C213DD">
        <w:rPr>
          <w:szCs w:val="28"/>
        </w:rPr>
        <w:t>los demanda</w:t>
      </w:r>
      <w:r w:rsidR="00C213DD">
        <w:rPr>
          <w:szCs w:val="28"/>
        </w:rPr>
        <w:t>dos</w:t>
      </w:r>
      <w:r w:rsidR="007B13F9" w:rsidRPr="00C213DD">
        <w:rPr>
          <w:szCs w:val="28"/>
        </w:rPr>
        <w:t xml:space="preserve"> a pagar las sumas antes mencionadas actualizadas.</w:t>
      </w:r>
    </w:p>
    <w:p w:rsidR="00C213DD" w:rsidRPr="00C213DD" w:rsidRDefault="00C213DD" w:rsidP="00C213DD">
      <w:pPr>
        <w:pStyle w:val="Prrafodelista"/>
        <w:ind w:left="1276"/>
        <w:rPr>
          <w:szCs w:val="28"/>
        </w:rPr>
      </w:pPr>
    </w:p>
    <w:p w:rsidR="007B13F9" w:rsidRDefault="007B13F9" w:rsidP="007B13F9">
      <w:pPr>
        <w:pStyle w:val="Prrafodelista"/>
        <w:numPr>
          <w:ilvl w:val="0"/>
          <w:numId w:val="32"/>
        </w:numPr>
        <w:ind w:left="0" w:firstLine="1276"/>
        <w:rPr>
          <w:szCs w:val="28"/>
        </w:rPr>
      </w:pPr>
      <w:r>
        <w:rPr>
          <w:szCs w:val="28"/>
        </w:rPr>
        <w:t>Que se los condene a pagar por daños y perjuicios intereses a la máxima tasa autorizada</w:t>
      </w:r>
      <w:r w:rsidR="003242CE">
        <w:rPr>
          <w:szCs w:val="28"/>
        </w:rPr>
        <w:t>.</w:t>
      </w:r>
    </w:p>
    <w:p w:rsidR="00C213DD" w:rsidRDefault="00C213DD" w:rsidP="00C213DD">
      <w:pPr>
        <w:pStyle w:val="Prrafodelista"/>
        <w:ind w:left="1276"/>
        <w:rPr>
          <w:szCs w:val="28"/>
        </w:rPr>
      </w:pPr>
    </w:p>
    <w:p w:rsidR="00E7405D" w:rsidRDefault="003242CE" w:rsidP="007B13F9">
      <w:pPr>
        <w:pStyle w:val="Prrafodelista"/>
        <w:numPr>
          <w:ilvl w:val="0"/>
          <w:numId w:val="32"/>
        </w:numPr>
        <w:ind w:left="0" w:firstLine="1276"/>
        <w:rPr>
          <w:szCs w:val="28"/>
        </w:rPr>
      </w:pPr>
      <w:r>
        <w:rPr>
          <w:szCs w:val="28"/>
        </w:rPr>
        <w:t xml:space="preserve">Que </w:t>
      </w:r>
      <w:r w:rsidR="007B13F9">
        <w:rPr>
          <w:szCs w:val="28"/>
        </w:rPr>
        <w:t>dentro de los cinco días siguientes a la ejecutoria de la sentencia que ponga fin al proceso se condene los demandados al pago de perjuicios por frutos civiles y naturales</w:t>
      </w:r>
      <w:r w:rsidR="00396A5F">
        <w:rPr>
          <w:szCs w:val="28"/>
        </w:rPr>
        <w:t>.</w:t>
      </w:r>
    </w:p>
    <w:p w:rsidR="00C213DD" w:rsidRDefault="00C213DD" w:rsidP="00C213DD">
      <w:pPr>
        <w:pStyle w:val="Prrafodelista"/>
        <w:ind w:left="1276"/>
        <w:rPr>
          <w:szCs w:val="28"/>
        </w:rPr>
      </w:pPr>
    </w:p>
    <w:p w:rsidR="007B13F9" w:rsidRPr="007B13F9" w:rsidRDefault="007B13F9" w:rsidP="007B13F9">
      <w:pPr>
        <w:pStyle w:val="Prrafodelista"/>
        <w:numPr>
          <w:ilvl w:val="0"/>
          <w:numId w:val="32"/>
        </w:numPr>
        <w:ind w:left="0" w:firstLine="1276"/>
        <w:rPr>
          <w:szCs w:val="28"/>
        </w:rPr>
      </w:pPr>
      <w:r>
        <w:rPr>
          <w:szCs w:val="28"/>
        </w:rPr>
        <w:t xml:space="preserve">Que se declare que Luis Fernando </w:t>
      </w:r>
      <w:r w:rsidR="000B0232">
        <w:rPr>
          <w:szCs w:val="28"/>
        </w:rPr>
        <w:t>Mejía Otero tiene derecho el 50%</w:t>
      </w:r>
      <w:r>
        <w:rPr>
          <w:szCs w:val="28"/>
        </w:rPr>
        <w:t xml:space="preserve"> de las acciones y los activos de la sociedad Colempaques SAS pues fue constituida con dineros que le </w:t>
      </w:r>
      <w:r w:rsidR="00396A5F">
        <w:rPr>
          <w:szCs w:val="28"/>
        </w:rPr>
        <w:t>correspondía</w:t>
      </w:r>
      <w:r w:rsidR="000B0232">
        <w:rPr>
          <w:szCs w:val="28"/>
        </w:rPr>
        <w:t>n</w:t>
      </w:r>
      <w:r w:rsidR="00396A5F">
        <w:rPr>
          <w:szCs w:val="28"/>
        </w:rPr>
        <w:t xml:space="preserve"> en un 50%.</w:t>
      </w:r>
    </w:p>
    <w:p w:rsidR="00BB6EA4" w:rsidRDefault="00BB6EA4" w:rsidP="009F7E87">
      <w:pPr>
        <w:ind w:firstLine="709"/>
        <w:rPr>
          <w:szCs w:val="28"/>
        </w:rPr>
      </w:pPr>
    </w:p>
    <w:p w:rsidR="00242F6A" w:rsidRPr="00242F6A" w:rsidRDefault="00757BF4" w:rsidP="00757BF4">
      <w:pPr>
        <w:ind w:firstLine="709"/>
      </w:pPr>
      <w:r>
        <w:t>B.</w:t>
      </w:r>
      <w:r>
        <w:tab/>
      </w:r>
      <w:r w:rsidR="00871133">
        <w:t xml:space="preserve">Fundamentos de hecho.- </w:t>
      </w:r>
      <w:r w:rsidR="00F31981">
        <w:t>Como causa de pedir adujeron</w:t>
      </w:r>
      <w:r w:rsidR="005920A5">
        <w:t xml:space="preserve"> </w:t>
      </w:r>
      <w:r w:rsidR="003242CE">
        <w:t xml:space="preserve">con redacción similar </w:t>
      </w:r>
      <w:r w:rsidR="005920A5">
        <w:t>las mismas pretensiones declarativas, a las que agregaron, en resumen</w:t>
      </w:r>
      <w:r>
        <w:t>:</w:t>
      </w:r>
      <w:r w:rsidR="00C27C5D">
        <w:t xml:space="preserve"> </w:t>
      </w:r>
    </w:p>
    <w:p w:rsidR="00242F6A" w:rsidRDefault="00242F6A" w:rsidP="00757BF4"/>
    <w:p w:rsidR="00F31981" w:rsidRDefault="00757BF4" w:rsidP="00757BF4">
      <w:pPr>
        <w:ind w:firstLine="567"/>
      </w:pPr>
      <w:r>
        <w:t>1.</w:t>
      </w:r>
      <w:r>
        <w:tab/>
        <w:t>Q</w:t>
      </w:r>
      <w:r w:rsidR="00C27C5D">
        <w:t>ue en 1994</w:t>
      </w:r>
      <w:r>
        <w:t>,</w:t>
      </w:r>
      <w:r w:rsidR="00C27C5D">
        <w:t xml:space="preserve"> por voluntad y a instancias de Mario Mejía Otero</w:t>
      </w:r>
      <w:r w:rsidR="003242CE">
        <w:t>,</w:t>
      </w:r>
      <w:r w:rsidR="00C27C5D">
        <w:t xml:space="preserve"> se hizo una </w:t>
      </w:r>
      <w:r w:rsidR="003242CE">
        <w:t>“</w:t>
      </w:r>
      <w:r w:rsidR="00C27C5D" w:rsidRPr="003242CE">
        <w:rPr>
          <w:i/>
        </w:rPr>
        <w:t>partición de las sociedades de hecho y de las sociedades constituidas legalmente</w:t>
      </w:r>
      <w:r w:rsidR="003242CE" w:rsidRPr="003242CE">
        <w:rPr>
          <w:i/>
        </w:rPr>
        <w:t>”</w:t>
      </w:r>
      <w:r>
        <w:t>,</w:t>
      </w:r>
      <w:r w:rsidR="00242F6A">
        <w:t xml:space="preserve"> </w:t>
      </w:r>
      <w:r w:rsidR="00396A5F">
        <w:t xml:space="preserve">a saber, Reusar Ltda., Reciclar Ltda., Rena Ltda., Envacar Ltda. y Renco Ltda., </w:t>
      </w:r>
      <w:r w:rsidR="003242CE">
        <w:t>en razón a que la sociedad Recolta Ltda. ya había sido liquidada en 1981 y sus activos y pasivos habían sido asumidos en su mayor parte por la sociedad Reusar Ltda.</w:t>
      </w:r>
      <w:r w:rsidR="007425A2">
        <w:t>,</w:t>
      </w:r>
      <w:r w:rsidR="003242CE">
        <w:t xml:space="preserve"> </w:t>
      </w:r>
      <w:r w:rsidR="00396A5F">
        <w:t xml:space="preserve">partición </w:t>
      </w:r>
      <w:r w:rsidR="00242F6A">
        <w:t>en la que</w:t>
      </w:r>
      <w:r w:rsidR="00C27C5D">
        <w:t xml:space="preserve"> Mario Mejía Otero se quedó con la totalidad de los bienes inmuebles</w:t>
      </w:r>
      <w:r w:rsidR="00242F6A">
        <w:t xml:space="preserve"> y entregó a Luis Fernando Mejía Otero</w:t>
      </w:r>
      <w:r>
        <w:t>,</w:t>
      </w:r>
      <w:r w:rsidR="00242F6A">
        <w:t xml:space="preserve"> a título de pago de su participación</w:t>
      </w:r>
      <w:r>
        <w:t>,</w:t>
      </w:r>
      <w:r w:rsidR="00242F6A">
        <w:t xml:space="preserve"> la razón social de las sociedades constituidas, pero sólo con unos activos </w:t>
      </w:r>
      <w:r w:rsidR="007425A2">
        <w:t>representados en</w:t>
      </w:r>
      <w:r w:rsidR="00242F6A">
        <w:t xml:space="preserve"> máquinas obsoletas.</w:t>
      </w:r>
      <w:r w:rsidR="00905C9A">
        <w:t xml:space="preserve"> </w:t>
      </w:r>
      <w:r w:rsidR="00F57333">
        <w:t>Por tanto, “</w:t>
      </w:r>
      <w:r w:rsidR="00F57333" w:rsidRPr="00DA7008">
        <w:rPr>
          <w:i/>
        </w:rPr>
        <w:t>de la partición que se hizo en 1994 para liquidar la participación de Luis Fernando Mejía Otero y Mario Mejía Otero en las distintas sociedades, tanto las legalmente constituidas como las de hecho</w:t>
      </w:r>
      <w:r w:rsidR="00DA7008" w:rsidRPr="00DA7008">
        <w:rPr>
          <w:i/>
        </w:rPr>
        <w:t xml:space="preserve"> sólo le quedaron </w:t>
      </w:r>
      <w:r w:rsidR="007425A2">
        <w:rPr>
          <w:i/>
        </w:rPr>
        <w:t xml:space="preserve">a </w:t>
      </w:r>
      <w:r w:rsidR="00DA7008" w:rsidRPr="00DA7008">
        <w:rPr>
          <w:i/>
        </w:rPr>
        <w:t>Luis Fernando Me</w:t>
      </w:r>
      <w:r w:rsidR="007425A2">
        <w:rPr>
          <w:i/>
        </w:rPr>
        <w:t xml:space="preserve">jía Otero las razones sociales sin </w:t>
      </w:r>
      <w:r w:rsidR="00DA7008" w:rsidRPr="00DA7008">
        <w:rPr>
          <w:i/>
        </w:rPr>
        <w:t>activos ni pasivos importantes y con utilidades irrisorias, d</w:t>
      </w:r>
      <w:r w:rsidR="00905C9A" w:rsidRPr="00DA7008">
        <w:rPr>
          <w:i/>
        </w:rPr>
        <w:t>e es</w:t>
      </w:r>
      <w:r w:rsidR="00905C9A" w:rsidRPr="00905C9A">
        <w:rPr>
          <w:i/>
        </w:rPr>
        <w:t>ta repartición no quedó constancia alguna, ni actas de juntas de socios, ni acuerdos, ni protocolos, porque nunca la partición planteada por Mario Mejía Otero estuvo acompañada de un proceso de liquidación formal de dichas sociedades</w:t>
      </w:r>
      <w:r w:rsidR="00905C9A">
        <w:t>” (folio 375 del cuaderno principal)</w:t>
      </w:r>
      <w:r w:rsidR="00F57333">
        <w:t>.</w:t>
      </w:r>
    </w:p>
    <w:p w:rsidR="00757BF4" w:rsidRDefault="00757BF4" w:rsidP="00757BF4">
      <w:pPr>
        <w:ind w:firstLine="567"/>
      </w:pPr>
    </w:p>
    <w:p w:rsidR="00757BF4" w:rsidRDefault="00757BF4" w:rsidP="00757BF4">
      <w:pPr>
        <w:ind w:firstLine="567"/>
      </w:pPr>
      <w:r>
        <w:t>2.</w:t>
      </w:r>
      <w:r>
        <w:tab/>
      </w:r>
      <w:r w:rsidR="00C46445">
        <w:t>La</w:t>
      </w:r>
      <w:r>
        <w:t xml:space="preserve"> sociedad Tamer Ltda. operaba en el mercado de producción </w:t>
      </w:r>
      <w:r w:rsidR="00635BB8">
        <w:t xml:space="preserve">y comercialización </w:t>
      </w:r>
      <w:r>
        <w:t>de</w:t>
      </w:r>
      <w:r w:rsidR="00635BB8">
        <w:t xml:space="preserve"> tambores metálicos nuevos, mercado que fue vendido por ella a sus competidores</w:t>
      </w:r>
      <w:r w:rsidR="004E4283">
        <w:t xml:space="preserve"> por US800.000 de</w:t>
      </w:r>
      <w:r w:rsidR="00635BB8">
        <w:t xml:space="preserve"> 1994</w:t>
      </w:r>
      <w:r w:rsidR="004E4283">
        <w:t>,</w:t>
      </w:r>
      <w:r w:rsidR="00635BB8">
        <w:t xml:space="preserve"> sin recibir Luis Fernando Mejía Otero u</w:t>
      </w:r>
      <w:r w:rsidR="004E4283">
        <w:t xml:space="preserve">n solo peso por dicha operación. </w:t>
      </w:r>
      <w:r w:rsidR="00635BB8">
        <w:t xml:space="preserve">Mario Mejía Otero se apropió de esos recursos y reservó para sí la razón social de la sociedad Tamer Ltda. Parte de ese capital lo inyectó </w:t>
      </w:r>
      <w:r w:rsidR="00F57333">
        <w:t>en</w:t>
      </w:r>
      <w:r w:rsidR="00635BB8">
        <w:t xml:space="preserve"> la sociedad Colempaques SAS y el resto lo destinó para la construcción de una casa de recreo.</w:t>
      </w:r>
    </w:p>
    <w:p w:rsidR="00905C9A" w:rsidRDefault="00905C9A" w:rsidP="00757BF4">
      <w:pPr>
        <w:ind w:firstLine="567"/>
      </w:pPr>
    </w:p>
    <w:p w:rsidR="00C46445" w:rsidRDefault="00C46445" w:rsidP="006F4592">
      <w:pPr>
        <w:ind w:firstLine="567"/>
        <w:rPr>
          <w:szCs w:val="28"/>
        </w:rPr>
      </w:pPr>
      <w:r>
        <w:rPr>
          <w:szCs w:val="28"/>
        </w:rPr>
        <w:t>3.</w:t>
      </w:r>
      <w:r>
        <w:rPr>
          <w:szCs w:val="28"/>
        </w:rPr>
        <w:tab/>
      </w:r>
      <w:r w:rsidR="00905C9A">
        <w:rPr>
          <w:szCs w:val="28"/>
        </w:rPr>
        <w:t xml:space="preserve">Algunos de los inmuebles </w:t>
      </w:r>
      <w:r w:rsidR="00DA7008">
        <w:rPr>
          <w:szCs w:val="28"/>
        </w:rPr>
        <w:t xml:space="preserve"> -que son </w:t>
      </w:r>
      <w:r w:rsidR="00704DDB">
        <w:rPr>
          <w:szCs w:val="28"/>
        </w:rPr>
        <w:t>diez</w:t>
      </w:r>
      <w:r w:rsidR="00DA7008">
        <w:rPr>
          <w:szCs w:val="28"/>
        </w:rPr>
        <w:t xml:space="preserve"> en total- </w:t>
      </w:r>
      <w:r w:rsidR="00905C9A">
        <w:rPr>
          <w:szCs w:val="28"/>
        </w:rPr>
        <w:t xml:space="preserve">permanecen en poder de Mario Mejía Otero, otros han sido transferidos a sociedades en las que él </w:t>
      </w:r>
      <w:r w:rsidR="00781E25">
        <w:rPr>
          <w:szCs w:val="28"/>
        </w:rPr>
        <w:t xml:space="preserve">o sus hijos </w:t>
      </w:r>
      <w:r w:rsidR="00905C9A">
        <w:rPr>
          <w:szCs w:val="28"/>
        </w:rPr>
        <w:t>tiene</w:t>
      </w:r>
      <w:r w:rsidR="00DA7008">
        <w:rPr>
          <w:szCs w:val="28"/>
        </w:rPr>
        <w:t>n</w:t>
      </w:r>
      <w:r w:rsidR="00905C9A">
        <w:rPr>
          <w:szCs w:val="28"/>
        </w:rPr>
        <w:t xml:space="preserve"> interés, otros los utilizó como herramienta para disolver y liquidar la sociedad conyugal adjudicándos</w:t>
      </w:r>
      <w:r w:rsidR="00781E25">
        <w:rPr>
          <w:szCs w:val="28"/>
        </w:rPr>
        <w:t>e</w:t>
      </w:r>
      <w:r w:rsidR="004E4283">
        <w:rPr>
          <w:szCs w:val="28"/>
        </w:rPr>
        <w:t>los a su esposa Graciela Parra. El</w:t>
      </w:r>
      <w:r w:rsidR="00905C9A">
        <w:rPr>
          <w:szCs w:val="28"/>
        </w:rPr>
        <w:t xml:space="preserve"> apartamento de Cartagena </w:t>
      </w:r>
      <w:r w:rsidR="00781E25">
        <w:rPr>
          <w:szCs w:val="28"/>
        </w:rPr>
        <w:t xml:space="preserve">(matrícula 060-115937) </w:t>
      </w:r>
      <w:r w:rsidR="00905C9A">
        <w:rPr>
          <w:szCs w:val="28"/>
        </w:rPr>
        <w:t xml:space="preserve">lo transfirió </w:t>
      </w:r>
      <w:r w:rsidR="00B27EC8">
        <w:rPr>
          <w:szCs w:val="28"/>
        </w:rPr>
        <w:t>a María del Carmen Ospina Pérez y</w:t>
      </w:r>
      <w:r w:rsidR="004E4283">
        <w:rPr>
          <w:szCs w:val="28"/>
        </w:rPr>
        <w:t xml:space="preserve"> </w:t>
      </w:r>
      <w:r w:rsidR="00781E25">
        <w:rPr>
          <w:szCs w:val="28"/>
        </w:rPr>
        <w:t>e</w:t>
      </w:r>
      <w:r w:rsidR="00905C9A">
        <w:rPr>
          <w:szCs w:val="28"/>
        </w:rPr>
        <w:t>l predio adquirido en Villa de Leiva</w:t>
      </w:r>
      <w:r w:rsidR="00781E25">
        <w:rPr>
          <w:szCs w:val="28"/>
        </w:rPr>
        <w:t xml:space="preserve"> lo enajenó a Jacqueline Borrero Martelo</w:t>
      </w:r>
      <w:r w:rsidR="003B58D7">
        <w:rPr>
          <w:szCs w:val="28"/>
        </w:rPr>
        <w:t>.</w:t>
      </w:r>
    </w:p>
    <w:p w:rsidR="006F4592" w:rsidRDefault="006F4592" w:rsidP="006F4592">
      <w:pPr>
        <w:ind w:firstLine="567"/>
        <w:rPr>
          <w:szCs w:val="28"/>
        </w:rPr>
      </w:pPr>
    </w:p>
    <w:p w:rsidR="00A83B64" w:rsidRDefault="006F4592" w:rsidP="006F4592">
      <w:pPr>
        <w:ind w:firstLine="567"/>
        <w:rPr>
          <w:szCs w:val="28"/>
        </w:rPr>
      </w:pPr>
      <w:r>
        <w:rPr>
          <w:szCs w:val="28"/>
        </w:rPr>
        <w:t>C.</w:t>
      </w:r>
      <w:r>
        <w:rPr>
          <w:szCs w:val="28"/>
        </w:rPr>
        <w:tab/>
      </w:r>
      <w:r w:rsidR="00871133">
        <w:rPr>
          <w:szCs w:val="28"/>
        </w:rPr>
        <w:t xml:space="preserve">Posición de los demandados.- </w:t>
      </w:r>
      <w:r w:rsidRPr="000B0232">
        <w:rPr>
          <w:szCs w:val="28"/>
        </w:rPr>
        <w:t>Colempaques SAS, María Fernanda Mejía Parra, Jorge Mario Mejía Parra, Miguel Antonio Mejía Borrero, Jacqueline Borrero Martelo, Graciela Parra de Mejía, Mario Mejía Otero, María del Carmen Ospina Pérez, Mejía Parra Otero y Compañía S. en C. en liquidación</w:t>
      </w:r>
      <w:r w:rsidR="00D048A9">
        <w:rPr>
          <w:szCs w:val="28"/>
        </w:rPr>
        <w:t xml:space="preserve">, </w:t>
      </w:r>
      <w:r w:rsidR="00532D9C">
        <w:rPr>
          <w:szCs w:val="28"/>
        </w:rPr>
        <w:t xml:space="preserve">dieron contestación </w:t>
      </w:r>
      <w:r>
        <w:rPr>
          <w:szCs w:val="28"/>
        </w:rPr>
        <w:t>con la formulación de excepciones de mérito que denominaron “inexistencia de la sociedad de hecho”, “inexistencia del socio industrial”, “inexistencia de la apropiación indebida de bienes”, “</w:t>
      </w:r>
      <w:r w:rsidR="0069277C">
        <w:rPr>
          <w:szCs w:val="28"/>
        </w:rPr>
        <w:t>inexistencia de enriquecimiento sin causa”, “ausencia de la prueba de la existencia de la sociedad Recolta Ltda.”, “inexistencia de los recursos de la sociedad Recolta Ltda”, “inexistencia de la propiedad de los demandantes de los bienes inmuebles” y “las que aparecier</w:t>
      </w:r>
      <w:r w:rsidR="009B5753">
        <w:rPr>
          <w:szCs w:val="28"/>
        </w:rPr>
        <w:t>a</w:t>
      </w:r>
      <w:r w:rsidR="0069277C">
        <w:rPr>
          <w:szCs w:val="28"/>
        </w:rPr>
        <w:t xml:space="preserve">n probadas en el proceso”. </w:t>
      </w:r>
    </w:p>
    <w:p w:rsidR="00A83B64" w:rsidRDefault="00A83B64" w:rsidP="006F4592">
      <w:pPr>
        <w:ind w:firstLine="567"/>
        <w:rPr>
          <w:szCs w:val="28"/>
        </w:rPr>
      </w:pPr>
    </w:p>
    <w:p w:rsidR="006F4592" w:rsidRDefault="0069277C" w:rsidP="006F4592">
      <w:pPr>
        <w:ind w:firstLine="567"/>
        <w:rPr>
          <w:szCs w:val="28"/>
        </w:rPr>
      </w:pPr>
      <w:r>
        <w:rPr>
          <w:szCs w:val="28"/>
        </w:rPr>
        <w:t xml:space="preserve">En lo fundamental, adujeron que Luis Fernando Mejía Otero no pudo ingresar como socio de hecho en Recolta Ltda., ni en  Tamer Ltda, pues las </w:t>
      </w:r>
      <w:r w:rsidR="00DA7008">
        <w:rPr>
          <w:szCs w:val="28"/>
        </w:rPr>
        <w:t>de este tipo societario</w:t>
      </w:r>
      <w:r>
        <w:rPr>
          <w:szCs w:val="28"/>
        </w:rPr>
        <w:t xml:space="preserve"> no pueden tener socios de </w:t>
      </w:r>
      <w:r w:rsidR="009B5753">
        <w:rPr>
          <w:szCs w:val="28"/>
        </w:rPr>
        <w:t xml:space="preserve">hecho </w:t>
      </w:r>
      <w:r>
        <w:rPr>
          <w:szCs w:val="28"/>
        </w:rPr>
        <w:t>dado que deben aportar capital</w:t>
      </w:r>
      <w:r w:rsidR="00BE5990">
        <w:rPr>
          <w:szCs w:val="28"/>
        </w:rPr>
        <w:t>. Agregaron que los inmuebles adquiridos por Mario Mejía Otero y las demás personas que figuran en las escrituras correspondientes lo fueron con sus propios peculios</w:t>
      </w:r>
      <w:r w:rsidR="005564D2">
        <w:rPr>
          <w:szCs w:val="28"/>
        </w:rPr>
        <w:t>.</w:t>
      </w:r>
    </w:p>
    <w:p w:rsidR="001A24A9" w:rsidRDefault="001A24A9" w:rsidP="006F4592">
      <w:pPr>
        <w:ind w:firstLine="567"/>
        <w:rPr>
          <w:szCs w:val="28"/>
        </w:rPr>
      </w:pPr>
    </w:p>
    <w:p w:rsidR="007B6AE5" w:rsidRDefault="001A24A9" w:rsidP="006F4592">
      <w:pPr>
        <w:ind w:firstLine="567"/>
        <w:rPr>
          <w:szCs w:val="28"/>
        </w:rPr>
      </w:pPr>
      <w:r>
        <w:rPr>
          <w:szCs w:val="28"/>
        </w:rPr>
        <w:t>Dentro de</w:t>
      </w:r>
      <w:r w:rsidR="00994271">
        <w:rPr>
          <w:szCs w:val="28"/>
        </w:rPr>
        <w:t xml:space="preserve"> la excepción </w:t>
      </w:r>
      <w:r w:rsidR="002D6AC2">
        <w:rPr>
          <w:szCs w:val="28"/>
        </w:rPr>
        <w:t xml:space="preserve">intitulada </w:t>
      </w:r>
      <w:r w:rsidR="00DA7008">
        <w:rPr>
          <w:szCs w:val="28"/>
        </w:rPr>
        <w:t>“las que apareciera</w:t>
      </w:r>
      <w:r>
        <w:rPr>
          <w:szCs w:val="28"/>
        </w:rPr>
        <w:t xml:space="preserve">n probadas en el proceso” </w:t>
      </w:r>
      <w:r w:rsidR="00994271">
        <w:rPr>
          <w:szCs w:val="28"/>
        </w:rPr>
        <w:t>incluyeron la “</w:t>
      </w:r>
      <w:r w:rsidR="00994271" w:rsidRPr="00145AF9">
        <w:rPr>
          <w:szCs w:val="28"/>
        </w:rPr>
        <w:t>prescripción de las acciones legales”</w:t>
      </w:r>
      <w:r w:rsidR="00994271">
        <w:rPr>
          <w:szCs w:val="28"/>
        </w:rPr>
        <w:t xml:space="preserve"> </w:t>
      </w:r>
      <w:r w:rsidR="00145AF9">
        <w:rPr>
          <w:szCs w:val="28"/>
        </w:rPr>
        <w:t>(f. 533, c. 2) y la</w:t>
      </w:r>
      <w:r w:rsidR="002D6AC2">
        <w:rPr>
          <w:szCs w:val="28"/>
        </w:rPr>
        <w:t xml:space="preserve"> “</w:t>
      </w:r>
      <w:r w:rsidR="002D6AC2" w:rsidRPr="00145AF9">
        <w:rPr>
          <w:szCs w:val="28"/>
        </w:rPr>
        <w:t>prescripción adquisitiva del dominio de los bienes muebles e inmuebles</w:t>
      </w:r>
      <w:r w:rsidR="002D6AC2">
        <w:rPr>
          <w:szCs w:val="28"/>
        </w:rPr>
        <w:t xml:space="preserve">”. Indicaron que </w:t>
      </w:r>
      <w:r w:rsidR="007B6AE5">
        <w:rPr>
          <w:szCs w:val="28"/>
        </w:rPr>
        <w:t>“</w:t>
      </w:r>
      <w:r w:rsidR="007B6AE5" w:rsidRPr="00DA7008">
        <w:rPr>
          <w:i/>
          <w:szCs w:val="28"/>
        </w:rPr>
        <w:t>de acuerdo con las escrituras y los certificados de libertad y tradición los propietarios de los inmuebles prueban que tienen una cadena ininterrumpida de tradiciones y la posesión regular de los inmuebles por más de 20 años</w:t>
      </w:r>
      <w:r w:rsidR="007B6AE5">
        <w:rPr>
          <w:szCs w:val="28"/>
        </w:rPr>
        <w:t>”, por lo que se</w:t>
      </w:r>
      <w:r w:rsidR="00145AF9">
        <w:rPr>
          <w:szCs w:val="28"/>
        </w:rPr>
        <w:t xml:space="preserve"> da</w:t>
      </w:r>
      <w:r w:rsidR="007B6AE5">
        <w:rPr>
          <w:szCs w:val="28"/>
        </w:rPr>
        <w:t xml:space="preserve"> la prescripción de los mismos a favor de los demandados, actualmente propietarios. A más de lo anterior adujeron que había </w:t>
      </w:r>
      <w:r>
        <w:rPr>
          <w:szCs w:val="28"/>
        </w:rPr>
        <w:t>transcurrido un plazo mayor al que la ley señala para el ejercicio de las acciones</w:t>
      </w:r>
      <w:r w:rsidR="007B6AE5">
        <w:rPr>
          <w:szCs w:val="28"/>
        </w:rPr>
        <w:t>, dado que los hechos se remontan a más de 10 años.</w:t>
      </w:r>
    </w:p>
    <w:p w:rsidR="007B6AE5" w:rsidRDefault="007B6AE5" w:rsidP="006F4592">
      <w:pPr>
        <w:ind w:firstLine="567"/>
        <w:rPr>
          <w:szCs w:val="28"/>
        </w:rPr>
      </w:pPr>
    </w:p>
    <w:p w:rsidR="001A24A9" w:rsidRDefault="007B6AE5" w:rsidP="006F4592">
      <w:pPr>
        <w:ind w:firstLine="567"/>
        <w:rPr>
          <w:szCs w:val="28"/>
        </w:rPr>
      </w:pPr>
      <w:r>
        <w:rPr>
          <w:szCs w:val="28"/>
        </w:rPr>
        <w:t xml:space="preserve">Suramericana de </w:t>
      </w:r>
      <w:r w:rsidR="00006447">
        <w:rPr>
          <w:szCs w:val="28"/>
        </w:rPr>
        <w:t xml:space="preserve">Transportes </w:t>
      </w:r>
      <w:r>
        <w:rPr>
          <w:szCs w:val="28"/>
        </w:rPr>
        <w:t>S.A. manifestó que no le co</w:t>
      </w:r>
      <w:r w:rsidR="00EF54E2">
        <w:rPr>
          <w:szCs w:val="28"/>
        </w:rPr>
        <w:t>n</w:t>
      </w:r>
      <w:r>
        <w:rPr>
          <w:szCs w:val="28"/>
        </w:rPr>
        <w:t>staban los hechos y presentó como excepciones la que denominó “falta de legitimación en la causa”</w:t>
      </w:r>
      <w:r w:rsidR="001E006C">
        <w:rPr>
          <w:szCs w:val="28"/>
        </w:rPr>
        <w:t xml:space="preserve"> dado que los demandantes no han tenido relación con dicha sociedad, “ausencia de la prueba de la existencia de la sociedad Recolta Ltda.”, “inexistencia de la propiedad de los demandantes del bien inmueble”, “las que aparecieron probadas en el proceso”, dentro de las cuales incluyó la “prescripción de las acciones legales” en los mismos términos antes resumidos.</w:t>
      </w:r>
    </w:p>
    <w:p w:rsidR="001E006C" w:rsidRDefault="001E006C" w:rsidP="006F4592">
      <w:pPr>
        <w:ind w:firstLine="567"/>
        <w:rPr>
          <w:szCs w:val="28"/>
        </w:rPr>
      </w:pPr>
    </w:p>
    <w:p w:rsidR="001E006C" w:rsidRDefault="001E006C" w:rsidP="006F4592">
      <w:pPr>
        <w:ind w:firstLine="567"/>
        <w:rPr>
          <w:szCs w:val="28"/>
        </w:rPr>
      </w:pPr>
      <w:r>
        <w:rPr>
          <w:szCs w:val="28"/>
        </w:rPr>
        <w:t xml:space="preserve">Al haberse acreditado la liquidación de la sociedad Tamer Ltda. el juzgado de conocimiento </w:t>
      </w:r>
      <w:r w:rsidR="00EF54E2">
        <w:rPr>
          <w:szCs w:val="28"/>
        </w:rPr>
        <w:t>llamó al proceso</w:t>
      </w:r>
      <w:r>
        <w:rPr>
          <w:szCs w:val="28"/>
        </w:rPr>
        <w:t xml:space="preserve"> a los socios de la misma, esto es, </w:t>
      </w:r>
      <w:r w:rsidR="00EF54E2">
        <w:rPr>
          <w:szCs w:val="28"/>
        </w:rPr>
        <w:t xml:space="preserve">a </w:t>
      </w:r>
      <w:r>
        <w:rPr>
          <w:szCs w:val="28"/>
        </w:rPr>
        <w:t xml:space="preserve">Jorge Mario Mejía Parra, Mario Mejía Otero y María Fernanda Mejía Parra, </w:t>
      </w:r>
      <w:r w:rsidR="0049155B">
        <w:rPr>
          <w:szCs w:val="28"/>
        </w:rPr>
        <w:t xml:space="preserve">quienes ya </w:t>
      </w:r>
      <w:r w:rsidR="00EF54E2">
        <w:rPr>
          <w:szCs w:val="28"/>
        </w:rPr>
        <w:t xml:space="preserve">estaban </w:t>
      </w:r>
      <w:r w:rsidR="00BC5700">
        <w:rPr>
          <w:szCs w:val="28"/>
        </w:rPr>
        <w:t>a</w:t>
      </w:r>
      <w:r w:rsidR="0049155B">
        <w:rPr>
          <w:szCs w:val="28"/>
        </w:rPr>
        <w:t>personados del</w:t>
      </w:r>
      <w:r w:rsidR="00EF54E2">
        <w:rPr>
          <w:szCs w:val="28"/>
        </w:rPr>
        <w:t xml:space="preserve"> mismo como demandados en su propio nombre. Dieron</w:t>
      </w:r>
      <w:r w:rsidR="0049155B">
        <w:rPr>
          <w:szCs w:val="28"/>
        </w:rPr>
        <w:t xml:space="preserve"> contestación en esta otra calidad oponiéndose también a las pretensiones y advirtiendo que en tod</w:t>
      </w:r>
      <w:r w:rsidR="00BC5700">
        <w:rPr>
          <w:szCs w:val="28"/>
        </w:rPr>
        <w:t xml:space="preserve">o caso su responsabilidad quedaba </w:t>
      </w:r>
      <w:r w:rsidR="0049155B">
        <w:rPr>
          <w:szCs w:val="28"/>
        </w:rPr>
        <w:t xml:space="preserve">limitada al monto de sus aportes en la mencionada </w:t>
      </w:r>
      <w:r w:rsidR="00192B4B">
        <w:rPr>
          <w:szCs w:val="28"/>
        </w:rPr>
        <w:t>compañía</w:t>
      </w:r>
      <w:r w:rsidR="0049155B">
        <w:rPr>
          <w:szCs w:val="28"/>
        </w:rPr>
        <w:t xml:space="preserve">. Citó además el juzgado a la liquidadora de la referida sociedad, a quien se le designó curador </w:t>
      </w:r>
      <w:r w:rsidR="0049155B" w:rsidRPr="00192B4B">
        <w:rPr>
          <w:i/>
          <w:szCs w:val="28"/>
        </w:rPr>
        <w:t>ad litem</w:t>
      </w:r>
      <w:r w:rsidR="004A12D5">
        <w:rPr>
          <w:szCs w:val="28"/>
        </w:rPr>
        <w:t>.</w:t>
      </w:r>
    </w:p>
    <w:p w:rsidR="004A12D5" w:rsidRDefault="004A12D5" w:rsidP="006F4592">
      <w:pPr>
        <w:ind w:firstLine="567"/>
        <w:rPr>
          <w:szCs w:val="28"/>
        </w:rPr>
      </w:pPr>
    </w:p>
    <w:p w:rsidR="000B0232" w:rsidRDefault="004A12D5" w:rsidP="000B0232">
      <w:pPr>
        <w:ind w:firstLine="567"/>
        <w:rPr>
          <w:szCs w:val="28"/>
        </w:rPr>
      </w:pPr>
      <w:r>
        <w:rPr>
          <w:szCs w:val="28"/>
        </w:rPr>
        <w:t>Por separado, los demandados formularon</w:t>
      </w:r>
      <w:r w:rsidR="00BC5700">
        <w:rPr>
          <w:szCs w:val="28"/>
        </w:rPr>
        <w:t>, entre otras,</w:t>
      </w:r>
      <w:r>
        <w:rPr>
          <w:szCs w:val="28"/>
        </w:rPr>
        <w:t xml:space="preserve"> la excepción previa de prescripción </w:t>
      </w:r>
      <w:r w:rsidR="00192B4B">
        <w:rPr>
          <w:szCs w:val="28"/>
        </w:rPr>
        <w:t xml:space="preserve">extintiva </w:t>
      </w:r>
      <w:r w:rsidR="00295A4D">
        <w:rPr>
          <w:szCs w:val="28"/>
        </w:rPr>
        <w:t>pues, según ellos, l</w:t>
      </w:r>
      <w:r w:rsidR="00BC5700">
        <w:rPr>
          <w:szCs w:val="28"/>
        </w:rPr>
        <w:t>a demanda se presentó por fuera del término previsto en la ley para el ejercicio de las acciones</w:t>
      </w:r>
      <w:r w:rsidR="000B0232">
        <w:rPr>
          <w:szCs w:val="28"/>
        </w:rPr>
        <w:t xml:space="preserve"> allí incoadas.</w:t>
      </w:r>
    </w:p>
    <w:p w:rsidR="000B0232" w:rsidRDefault="000B0232" w:rsidP="000B0232">
      <w:pPr>
        <w:ind w:firstLine="567"/>
        <w:rPr>
          <w:szCs w:val="28"/>
        </w:rPr>
      </w:pPr>
    </w:p>
    <w:p w:rsidR="00295A4D" w:rsidRDefault="000B0232" w:rsidP="000B0232">
      <w:pPr>
        <w:ind w:firstLine="567"/>
        <w:rPr>
          <w:szCs w:val="28"/>
        </w:rPr>
      </w:pPr>
      <w:r>
        <w:rPr>
          <w:szCs w:val="28"/>
        </w:rPr>
        <w:t xml:space="preserve"> D.</w:t>
      </w:r>
      <w:r>
        <w:rPr>
          <w:szCs w:val="28"/>
        </w:rPr>
        <w:tab/>
      </w:r>
      <w:r w:rsidR="00871133">
        <w:rPr>
          <w:szCs w:val="28"/>
        </w:rPr>
        <w:t xml:space="preserve">Sentencia de primera instancia.- </w:t>
      </w:r>
      <w:r w:rsidR="00006447">
        <w:rPr>
          <w:szCs w:val="28"/>
        </w:rPr>
        <w:t xml:space="preserve">Mediante providencia del 13 de agosto de 2012, el juzgado </w:t>
      </w:r>
      <w:r w:rsidR="00006447" w:rsidRPr="00B925D5">
        <w:rPr>
          <w:i/>
          <w:szCs w:val="28"/>
        </w:rPr>
        <w:t>a quo</w:t>
      </w:r>
      <w:r w:rsidR="00006447">
        <w:rPr>
          <w:szCs w:val="28"/>
        </w:rPr>
        <w:t xml:space="preserve"> dictó sentencia anticipada en la que declaró probada la</w:t>
      </w:r>
      <w:r w:rsidR="00192B4B">
        <w:rPr>
          <w:szCs w:val="28"/>
        </w:rPr>
        <w:t xml:space="preserve"> anotada </w:t>
      </w:r>
      <w:r w:rsidR="00006447">
        <w:rPr>
          <w:szCs w:val="28"/>
        </w:rPr>
        <w:t xml:space="preserve"> excepción de prescripción de la acción ordinaria y, consecuentemente, dio por terminado el proceso decretando el levantamiento de las medidas cautelares antes practicadas.</w:t>
      </w:r>
    </w:p>
    <w:p w:rsidR="00006447" w:rsidRDefault="00006447" w:rsidP="000B0232">
      <w:pPr>
        <w:ind w:firstLine="567"/>
        <w:rPr>
          <w:color w:val="000000" w:themeColor="text1"/>
          <w:szCs w:val="28"/>
          <w:lang w:val="es-ES"/>
        </w:rPr>
      </w:pPr>
    </w:p>
    <w:p w:rsidR="00006447" w:rsidRDefault="00006447" w:rsidP="000B0232">
      <w:pPr>
        <w:ind w:firstLine="567"/>
        <w:rPr>
          <w:color w:val="000000" w:themeColor="text1"/>
          <w:szCs w:val="28"/>
          <w:lang w:val="es-ES"/>
        </w:rPr>
      </w:pPr>
      <w:r>
        <w:rPr>
          <w:color w:val="000000" w:themeColor="text1"/>
          <w:szCs w:val="28"/>
          <w:lang w:val="es-ES"/>
        </w:rPr>
        <w:t>E.</w:t>
      </w:r>
      <w:r>
        <w:rPr>
          <w:color w:val="000000" w:themeColor="text1"/>
          <w:szCs w:val="28"/>
          <w:lang w:val="es-ES"/>
        </w:rPr>
        <w:tab/>
      </w:r>
      <w:r w:rsidR="00871133">
        <w:rPr>
          <w:color w:val="000000" w:themeColor="text1"/>
          <w:szCs w:val="28"/>
          <w:lang w:val="es-ES"/>
        </w:rPr>
        <w:t xml:space="preserve">Segunda instancia.- </w:t>
      </w:r>
      <w:r>
        <w:rPr>
          <w:color w:val="000000" w:themeColor="text1"/>
          <w:szCs w:val="28"/>
          <w:lang w:val="es-ES"/>
        </w:rPr>
        <w:t>Confirmada la decisión en la reposición resuelta por</w:t>
      </w:r>
      <w:r w:rsidR="00B925D5">
        <w:rPr>
          <w:color w:val="000000" w:themeColor="text1"/>
          <w:szCs w:val="28"/>
          <w:lang w:val="es-ES"/>
        </w:rPr>
        <w:t xml:space="preserve"> esa autoridad judicial </w:t>
      </w:r>
      <w:r>
        <w:rPr>
          <w:color w:val="000000" w:themeColor="text1"/>
          <w:szCs w:val="28"/>
          <w:lang w:val="es-ES"/>
        </w:rPr>
        <w:t>y concedida la apelación, el Tribunal</w:t>
      </w:r>
      <w:r w:rsidR="00B925D5">
        <w:rPr>
          <w:color w:val="000000" w:themeColor="text1"/>
          <w:szCs w:val="28"/>
          <w:lang w:val="es-ES"/>
        </w:rPr>
        <w:t>,</w:t>
      </w:r>
      <w:r>
        <w:rPr>
          <w:color w:val="000000" w:themeColor="text1"/>
          <w:szCs w:val="28"/>
          <w:lang w:val="es-ES"/>
        </w:rPr>
        <w:t xml:space="preserve"> para desatar la alzada</w:t>
      </w:r>
      <w:r w:rsidR="00B925D5">
        <w:rPr>
          <w:color w:val="000000" w:themeColor="text1"/>
          <w:szCs w:val="28"/>
          <w:lang w:val="es-ES"/>
        </w:rPr>
        <w:t>,</w:t>
      </w:r>
      <w:r>
        <w:rPr>
          <w:color w:val="000000" w:themeColor="text1"/>
          <w:szCs w:val="28"/>
          <w:lang w:val="es-ES"/>
        </w:rPr>
        <w:t xml:space="preserve"> dictó la sentencia</w:t>
      </w:r>
      <w:r w:rsidR="00192B4B">
        <w:rPr>
          <w:color w:val="000000" w:themeColor="text1"/>
          <w:szCs w:val="28"/>
          <w:lang w:val="es-ES"/>
        </w:rPr>
        <w:t xml:space="preserve"> anticipada</w:t>
      </w:r>
      <w:r>
        <w:rPr>
          <w:color w:val="000000" w:themeColor="text1"/>
          <w:szCs w:val="28"/>
          <w:lang w:val="es-ES"/>
        </w:rPr>
        <w:t xml:space="preserve"> objeto del recurso de casación, en la que</w:t>
      </w:r>
      <w:r w:rsidR="00F6439C">
        <w:rPr>
          <w:color w:val="000000" w:themeColor="text1"/>
          <w:szCs w:val="28"/>
          <w:lang w:val="es-ES"/>
        </w:rPr>
        <w:t xml:space="preserve"> declaró parcialmente probada la excepci</w:t>
      </w:r>
      <w:r w:rsidR="00EF54E2">
        <w:rPr>
          <w:color w:val="000000" w:themeColor="text1"/>
          <w:szCs w:val="28"/>
          <w:lang w:val="es-ES"/>
        </w:rPr>
        <w:t>ón</w:t>
      </w:r>
      <w:r w:rsidR="00F6439C">
        <w:rPr>
          <w:color w:val="000000" w:themeColor="text1"/>
          <w:szCs w:val="28"/>
          <w:lang w:val="es-ES"/>
        </w:rPr>
        <w:t xml:space="preserve"> previa de prescripción en relación con las peticiones dirigidas contra los demandados Tamer Ltda., Mejía Parra Otero y Cia. S. en C., </w:t>
      </w:r>
      <w:r w:rsidR="00B925D5">
        <w:rPr>
          <w:color w:val="000000" w:themeColor="text1"/>
          <w:szCs w:val="28"/>
          <w:lang w:val="es-ES"/>
        </w:rPr>
        <w:t xml:space="preserve">Suramericana </w:t>
      </w:r>
      <w:r w:rsidR="00F6439C">
        <w:rPr>
          <w:color w:val="000000" w:themeColor="text1"/>
          <w:szCs w:val="28"/>
          <w:lang w:val="es-ES"/>
        </w:rPr>
        <w:t xml:space="preserve">de </w:t>
      </w:r>
      <w:r w:rsidR="00B925D5">
        <w:rPr>
          <w:color w:val="000000" w:themeColor="text1"/>
          <w:szCs w:val="28"/>
          <w:lang w:val="es-ES"/>
        </w:rPr>
        <w:t xml:space="preserve">Transportes S.A. </w:t>
      </w:r>
      <w:r w:rsidR="00F6439C">
        <w:rPr>
          <w:color w:val="000000" w:themeColor="text1"/>
          <w:szCs w:val="28"/>
          <w:lang w:val="es-ES"/>
        </w:rPr>
        <w:t xml:space="preserve">y las personas naturales María Fernanda Mejía Parra, Jorge Mario Mejía Parra, Miguel Antonio Mejía Borrero, Graciela Parra de Mejía y Jacqueline Borrero Martelo. Clarificó que el proceso seguía respecto de los efectos jurídicos que el demandante persigue frente a Mario Mejía Otero y </w:t>
      </w:r>
      <w:r w:rsidR="00B925D5">
        <w:rPr>
          <w:color w:val="000000" w:themeColor="text1"/>
          <w:szCs w:val="28"/>
          <w:lang w:val="es-ES"/>
        </w:rPr>
        <w:t>Reusar Ltda.</w:t>
      </w:r>
      <w:r w:rsidR="00F6439C">
        <w:rPr>
          <w:color w:val="000000" w:themeColor="text1"/>
          <w:szCs w:val="28"/>
          <w:lang w:val="es-ES"/>
        </w:rPr>
        <w:t xml:space="preserve"> en relación con las súplicas tercera, sexta, literales h) e i) de la pretensión novena, 11ª 17ª de la demanda; y frente a las consecuencias que </w:t>
      </w:r>
      <w:r w:rsidR="00B925D5">
        <w:rPr>
          <w:color w:val="000000" w:themeColor="text1"/>
          <w:szCs w:val="28"/>
          <w:lang w:val="es-ES"/>
        </w:rPr>
        <w:t>Luis</w:t>
      </w:r>
      <w:r w:rsidR="00F6439C">
        <w:rPr>
          <w:color w:val="000000" w:themeColor="text1"/>
          <w:szCs w:val="28"/>
          <w:lang w:val="es-ES"/>
        </w:rPr>
        <w:t xml:space="preserve"> Fernando Mejía Otero persigue </w:t>
      </w:r>
      <w:r w:rsidR="009E3852">
        <w:rPr>
          <w:color w:val="000000" w:themeColor="text1"/>
          <w:szCs w:val="28"/>
          <w:lang w:val="es-ES"/>
        </w:rPr>
        <w:t xml:space="preserve">en </w:t>
      </w:r>
      <w:r w:rsidR="00B925D5">
        <w:rPr>
          <w:color w:val="000000" w:themeColor="text1"/>
          <w:szCs w:val="28"/>
          <w:lang w:val="es-ES"/>
        </w:rPr>
        <w:t xml:space="preserve">Colempaques </w:t>
      </w:r>
      <w:r w:rsidR="00F6439C">
        <w:rPr>
          <w:color w:val="000000" w:themeColor="text1"/>
          <w:szCs w:val="28"/>
          <w:lang w:val="es-ES"/>
        </w:rPr>
        <w:t>S.A.S.</w:t>
      </w:r>
      <w:r w:rsidR="00B925D5">
        <w:rPr>
          <w:color w:val="000000" w:themeColor="text1"/>
          <w:szCs w:val="28"/>
          <w:lang w:val="es-ES"/>
        </w:rPr>
        <w:t xml:space="preserve"> c</w:t>
      </w:r>
      <w:r w:rsidR="00193FAE">
        <w:rPr>
          <w:color w:val="000000" w:themeColor="text1"/>
          <w:szCs w:val="28"/>
          <w:lang w:val="es-ES"/>
        </w:rPr>
        <w:t xml:space="preserve">ondensadas en las pretensiones 18ª y 19ª de la demanda. </w:t>
      </w:r>
      <w:r w:rsidR="00B925D5">
        <w:rPr>
          <w:color w:val="000000" w:themeColor="text1"/>
          <w:szCs w:val="28"/>
          <w:lang w:val="es-ES"/>
        </w:rPr>
        <w:t xml:space="preserve">Dio </w:t>
      </w:r>
      <w:r w:rsidR="00193FAE">
        <w:rPr>
          <w:color w:val="000000" w:themeColor="text1"/>
          <w:szCs w:val="28"/>
          <w:lang w:val="es-ES"/>
        </w:rPr>
        <w:t xml:space="preserve">por terminado el proceso en relación con los demandados </w:t>
      </w:r>
      <w:r w:rsidR="00B925D5">
        <w:rPr>
          <w:color w:val="000000" w:themeColor="text1"/>
          <w:szCs w:val="28"/>
          <w:lang w:val="es-ES"/>
        </w:rPr>
        <w:t xml:space="preserve">Reusar </w:t>
      </w:r>
      <w:r w:rsidR="00193FAE">
        <w:rPr>
          <w:color w:val="000000" w:themeColor="text1"/>
          <w:szCs w:val="28"/>
          <w:lang w:val="es-ES"/>
        </w:rPr>
        <w:t xml:space="preserve">Ltda., </w:t>
      </w:r>
      <w:r w:rsidR="00B925D5">
        <w:rPr>
          <w:color w:val="000000" w:themeColor="text1"/>
          <w:szCs w:val="28"/>
          <w:lang w:val="es-ES"/>
        </w:rPr>
        <w:t xml:space="preserve">Colempaques </w:t>
      </w:r>
      <w:r w:rsidR="00193FAE">
        <w:rPr>
          <w:color w:val="000000" w:themeColor="text1"/>
          <w:szCs w:val="28"/>
          <w:lang w:val="es-ES"/>
        </w:rPr>
        <w:t>SAS y Mario Mejía Otero.</w:t>
      </w:r>
    </w:p>
    <w:p w:rsidR="00193FAE" w:rsidRDefault="00193FAE" w:rsidP="000B0232">
      <w:pPr>
        <w:ind w:firstLine="567"/>
        <w:rPr>
          <w:color w:val="000000" w:themeColor="text1"/>
          <w:szCs w:val="28"/>
          <w:lang w:val="es-ES"/>
        </w:rPr>
      </w:pPr>
    </w:p>
    <w:p w:rsidR="00193FAE" w:rsidRDefault="00193FAE" w:rsidP="000B0232">
      <w:pPr>
        <w:ind w:firstLine="567"/>
        <w:rPr>
          <w:color w:val="000000" w:themeColor="text1"/>
          <w:szCs w:val="28"/>
          <w:lang w:val="es-ES"/>
        </w:rPr>
      </w:pPr>
      <w:r>
        <w:rPr>
          <w:color w:val="000000" w:themeColor="text1"/>
          <w:szCs w:val="28"/>
          <w:lang w:val="es-ES"/>
        </w:rPr>
        <w:t xml:space="preserve">Además de la cancelación del registro de la demanda con excepción de algunos lotes </w:t>
      </w:r>
      <w:r w:rsidR="00192B4B">
        <w:rPr>
          <w:color w:val="000000" w:themeColor="text1"/>
          <w:szCs w:val="28"/>
          <w:lang w:val="es-ES"/>
        </w:rPr>
        <w:t>afectados todavía a las resultas d</w:t>
      </w:r>
      <w:r>
        <w:rPr>
          <w:color w:val="000000" w:themeColor="text1"/>
          <w:szCs w:val="28"/>
          <w:lang w:val="es-ES"/>
        </w:rPr>
        <w:t>el proceso, dispuso el Tribunal declarar no probadas las excepciones de “prescripción de los recursos de la</w:t>
      </w:r>
      <w:r w:rsidR="00B925D5">
        <w:rPr>
          <w:color w:val="000000" w:themeColor="text1"/>
          <w:szCs w:val="28"/>
          <w:lang w:val="es-ES"/>
        </w:rPr>
        <w:t>s</w:t>
      </w:r>
      <w:r>
        <w:rPr>
          <w:color w:val="000000" w:themeColor="text1"/>
          <w:szCs w:val="28"/>
          <w:lang w:val="es-ES"/>
        </w:rPr>
        <w:t xml:space="preserve"> sociedad</w:t>
      </w:r>
      <w:r w:rsidR="00B925D5">
        <w:rPr>
          <w:color w:val="000000" w:themeColor="text1"/>
          <w:szCs w:val="28"/>
          <w:lang w:val="es-ES"/>
        </w:rPr>
        <w:t>es</w:t>
      </w:r>
      <w:r>
        <w:rPr>
          <w:color w:val="000000" w:themeColor="text1"/>
          <w:szCs w:val="28"/>
          <w:lang w:val="es-ES"/>
        </w:rPr>
        <w:t xml:space="preserve"> Recolta Ltda., </w:t>
      </w:r>
      <w:r w:rsidR="00B925D5">
        <w:rPr>
          <w:color w:val="000000" w:themeColor="text1"/>
          <w:szCs w:val="28"/>
          <w:lang w:val="es-ES"/>
        </w:rPr>
        <w:t xml:space="preserve">Reusar </w:t>
      </w:r>
      <w:r>
        <w:rPr>
          <w:color w:val="000000" w:themeColor="text1"/>
          <w:szCs w:val="28"/>
          <w:lang w:val="es-ES"/>
        </w:rPr>
        <w:t>Ltda. y T</w:t>
      </w:r>
      <w:r w:rsidR="00B925D5">
        <w:rPr>
          <w:color w:val="000000" w:themeColor="text1"/>
          <w:szCs w:val="28"/>
          <w:lang w:val="es-ES"/>
        </w:rPr>
        <w:t>amer</w:t>
      </w:r>
      <w:r>
        <w:rPr>
          <w:color w:val="000000" w:themeColor="text1"/>
          <w:szCs w:val="28"/>
          <w:lang w:val="es-ES"/>
        </w:rPr>
        <w:t xml:space="preserve"> Ltda.”, “prescripción adquisitiva del dominio extintiva de los derechos de los demandantes”, “falta de prueba de la calidad de socio” y “falta de prueba de la existencia de la sociedad de hecho”.</w:t>
      </w:r>
    </w:p>
    <w:p w:rsidR="00193FAE" w:rsidRDefault="00193FAE" w:rsidP="000B0232">
      <w:pPr>
        <w:ind w:firstLine="567"/>
        <w:rPr>
          <w:color w:val="000000" w:themeColor="text1"/>
          <w:szCs w:val="28"/>
          <w:lang w:val="es-ES"/>
        </w:rPr>
      </w:pPr>
    </w:p>
    <w:p w:rsidR="00193FAE" w:rsidRPr="00193FAE" w:rsidRDefault="00193FAE" w:rsidP="00193FAE">
      <w:pPr>
        <w:ind w:firstLine="567"/>
        <w:jc w:val="center"/>
        <w:rPr>
          <w:b/>
          <w:color w:val="000000" w:themeColor="text1"/>
          <w:szCs w:val="28"/>
          <w:lang w:val="es-ES"/>
        </w:rPr>
      </w:pPr>
      <w:r w:rsidRPr="00193FAE">
        <w:rPr>
          <w:b/>
          <w:color w:val="000000" w:themeColor="text1"/>
          <w:szCs w:val="28"/>
          <w:lang w:val="es-ES"/>
        </w:rPr>
        <w:t>LA SENTENCIA DEL TRIBUNAL</w:t>
      </w:r>
    </w:p>
    <w:p w:rsidR="00F31981" w:rsidRPr="00D6152B" w:rsidRDefault="00F31981" w:rsidP="00D6152B">
      <w:pPr>
        <w:rPr>
          <w:szCs w:val="28"/>
          <w:lang w:val="es-ES"/>
        </w:rPr>
      </w:pPr>
    </w:p>
    <w:p w:rsidR="00F31981" w:rsidRDefault="00447782" w:rsidP="00193FAE">
      <w:pPr>
        <w:ind w:firstLine="709"/>
        <w:rPr>
          <w:szCs w:val="28"/>
          <w:lang w:val="es-ES"/>
        </w:rPr>
      </w:pPr>
      <w:r>
        <w:rPr>
          <w:szCs w:val="28"/>
          <w:lang w:val="es-ES"/>
        </w:rPr>
        <w:t>A.</w:t>
      </w:r>
      <w:r>
        <w:rPr>
          <w:szCs w:val="28"/>
          <w:lang w:val="es-ES"/>
        </w:rPr>
        <w:tab/>
      </w:r>
      <w:r w:rsidR="00193FAE">
        <w:rPr>
          <w:szCs w:val="28"/>
          <w:lang w:val="es-ES"/>
        </w:rPr>
        <w:t>Luego del usual resumen de la demanda</w:t>
      </w:r>
      <w:r w:rsidR="00B30353">
        <w:rPr>
          <w:szCs w:val="28"/>
          <w:lang w:val="es-ES"/>
        </w:rPr>
        <w:t xml:space="preserve"> y la posición de los demandados sobre el fallo apelado, destaca esa colegiatura </w:t>
      </w:r>
      <w:r w:rsidR="00922992">
        <w:rPr>
          <w:szCs w:val="28"/>
          <w:lang w:val="es-ES"/>
        </w:rPr>
        <w:t xml:space="preserve">que el </w:t>
      </w:r>
      <w:r w:rsidR="00922992" w:rsidRPr="008B23F6">
        <w:rPr>
          <w:i/>
          <w:szCs w:val="28"/>
          <w:lang w:val="es-ES"/>
        </w:rPr>
        <w:t>a quo</w:t>
      </w:r>
      <w:r w:rsidR="001811E3">
        <w:rPr>
          <w:szCs w:val="28"/>
          <w:lang w:val="es-ES"/>
        </w:rPr>
        <w:t xml:space="preserve">, para desestimar las pretensiones, </w:t>
      </w:r>
      <w:r w:rsidR="00922992">
        <w:rPr>
          <w:szCs w:val="28"/>
          <w:lang w:val="es-ES"/>
        </w:rPr>
        <w:t xml:space="preserve">consideró que </w:t>
      </w:r>
      <w:r w:rsidR="00B30353">
        <w:rPr>
          <w:szCs w:val="28"/>
          <w:lang w:val="es-ES"/>
        </w:rPr>
        <w:t xml:space="preserve">como en 1981 se liquidó la sociedad Recolta Ltda. había operado la prescripción, conclusión que asimismo </w:t>
      </w:r>
      <w:r w:rsidR="00192B4B">
        <w:rPr>
          <w:szCs w:val="28"/>
          <w:lang w:val="es-ES"/>
        </w:rPr>
        <w:t>impuso</w:t>
      </w:r>
      <w:r w:rsidR="00B30353">
        <w:rPr>
          <w:szCs w:val="28"/>
          <w:lang w:val="es-ES"/>
        </w:rPr>
        <w:t xml:space="preserve"> en relación con la partición de la sociedad de hecho y de las legalmente constituidas, </w:t>
      </w:r>
      <w:r w:rsidR="00C421B7">
        <w:rPr>
          <w:szCs w:val="28"/>
          <w:lang w:val="es-ES"/>
        </w:rPr>
        <w:t xml:space="preserve">pues según afirmaron los actores ello </w:t>
      </w:r>
      <w:r w:rsidR="00B30353">
        <w:rPr>
          <w:szCs w:val="28"/>
          <w:lang w:val="es-ES"/>
        </w:rPr>
        <w:t xml:space="preserve">había acontecido en 1994, </w:t>
      </w:r>
      <w:r w:rsidR="00C421B7">
        <w:rPr>
          <w:szCs w:val="28"/>
          <w:lang w:val="es-ES"/>
        </w:rPr>
        <w:t xml:space="preserve"> y</w:t>
      </w:r>
      <w:r w:rsidR="00B30353">
        <w:rPr>
          <w:szCs w:val="28"/>
          <w:lang w:val="es-ES"/>
        </w:rPr>
        <w:t xml:space="preserve"> de conformidad con el artículo 256 del </w:t>
      </w:r>
      <w:r w:rsidR="008B23F6">
        <w:rPr>
          <w:szCs w:val="28"/>
          <w:lang w:val="es-ES"/>
        </w:rPr>
        <w:t xml:space="preserve">Código </w:t>
      </w:r>
      <w:r w:rsidR="00B30353">
        <w:rPr>
          <w:szCs w:val="28"/>
          <w:lang w:val="es-ES"/>
        </w:rPr>
        <w:t xml:space="preserve">de </w:t>
      </w:r>
      <w:r w:rsidR="008B23F6">
        <w:rPr>
          <w:szCs w:val="28"/>
          <w:lang w:val="es-ES"/>
        </w:rPr>
        <w:t xml:space="preserve">Comercio </w:t>
      </w:r>
      <w:r w:rsidR="00B30353">
        <w:rPr>
          <w:szCs w:val="28"/>
          <w:lang w:val="es-ES"/>
        </w:rPr>
        <w:t xml:space="preserve">contaban con cinco años para incoarla, plazo </w:t>
      </w:r>
      <w:r w:rsidR="00C421B7">
        <w:rPr>
          <w:szCs w:val="28"/>
          <w:lang w:val="es-ES"/>
        </w:rPr>
        <w:t xml:space="preserve">evidentemente </w:t>
      </w:r>
      <w:r w:rsidR="00B30353">
        <w:rPr>
          <w:szCs w:val="28"/>
          <w:lang w:val="es-ES"/>
        </w:rPr>
        <w:t>agotado.</w:t>
      </w:r>
    </w:p>
    <w:p w:rsidR="00922992" w:rsidRDefault="00922992" w:rsidP="00193FAE">
      <w:pPr>
        <w:ind w:firstLine="709"/>
        <w:rPr>
          <w:szCs w:val="28"/>
          <w:lang w:val="es-ES"/>
        </w:rPr>
      </w:pPr>
    </w:p>
    <w:p w:rsidR="00922992" w:rsidRDefault="008B23F6" w:rsidP="00193FAE">
      <w:pPr>
        <w:ind w:firstLine="709"/>
        <w:rPr>
          <w:szCs w:val="28"/>
          <w:lang w:val="es-ES"/>
        </w:rPr>
      </w:pPr>
      <w:r>
        <w:rPr>
          <w:szCs w:val="28"/>
          <w:lang w:val="es-ES"/>
        </w:rPr>
        <w:t xml:space="preserve">A continuación </w:t>
      </w:r>
      <w:r w:rsidR="008B0096">
        <w:rPr>
          <w:szCs w:val="28"/>
          <w:lang w:val="es-ES"/>
        </w:rPr>
        <w:t>recalca</w:t>
      </w:r>
      <w:r>
        <w:rPr>
          <w:szCs w:val="28"/>
          <w:lang w:val="es-ES"/>
        </w:rPr>
        <w:t xml:space="preserve"> el Tribunal </w:t>
      </w:r>
      <w:r w:rsidR="00922992">
        <w:rPr>
          <w:szCs w:val="28"/>
          <w:lang w:val="es-ES"/>
        </w:rPr>
        <w:t>que en la apelación los demandantes establecieron que la única sociedad liquidada en 1981 fue Recolta Ltda.</w:t>
      </w:r>
      <w:r w:rsidR="00313DAA">
        <w:rPr>
          <w:szCs w:val="28"/>
          <w:lang w:val="es-ES"/>
        </w:rPr>
        <w:t>,</w:t>
      </w:r>
      <w:r w:rsidR="00922992">
        <w:rPr>
          <w:szCs w:val="28"/>
          <w:lang w:val="es-ES"/>
        </w:rPr>
        <w:t xml:space="preserve"> pero </w:t>
      </w:r>
      <w:r w:rsidR="00313DAA">
        <w:rPr>
          <w:szCs w:val="28"/>
          <w:lang w:val="es-ES"/>
        </w:rPr>
        <w:t xml:space="preserve">que </w:t>
      </w:r>
      <w:r w:rsidR="00922992">
        <w:rPr>
          <w:szCs w:val="28"/>
          <w:lang w:val="es-ES"/>
        </w:rPr>
        <w:t xml:space="preserve">esa situación no se extiende a las demás sociedades de hecho formadas por Luis Fernando Mejía Otero y Tamer Ltda. </w:t>
      </w:r>
      <w:r w:rsidR="00DC76D9">
        <w:rPr>
          <w:szCs w:val="28"/>
          <w:lang w:val="es-ES"/>
        </w:rPr>
        <w:t>Además</w:t>
      </w:r>
      <w:r w:rsidR="00922992">
        <w:rPr>
          <w:szCs w:val="28"/>
          <w:lang w:val="es-ES"/>
        </w:rPr>
        <w:t xml:space="preserve">, que en los hechos 10º y 11º se alegó que en 1994 se realizó una “partición” de la sociedad de hecho y de las legalmente constituidas sin que ello significara la disolución ni la liquidación de las mismas, pues eso requería el acaecimiento de alguna de las causales establecidas en el </w:t>
      </w:r>
      <w:r w:rsidR="00313DAA">
        <w:rPr>
          <w:szCs w:val="28"/>
          <w:lang w:val="es-ES"/>
        </w:rPr>
        <w:t xml:space="preserve">Código </w:t>
      </w:r>
      <w:r w:rsidR="00DC76D9">
        <w:rPr>
          <w:szCs w:val="28"/>
          <w:lang w:val="es-ES"/>
        </w:rPr>
        <w:t xml:space="preserve">de </w:t>
      </w:r>
      <w:r w:rsidR="00313DAA">
        <w:rPr>
          <w:szCs w:val="28"/>
          <w:lang w:val="es-ES"/>
        </w:rPr>
        <w:t xml:space="preserve">Comercio </w:t>
      </w:r>
      <w:r w:rsidR="00DC76D9">
        <w:rPr>
          <w:szCs w:val="28"/>
          <w:lang w:val="es-ES"/>
        </w:rPr>
        <w:t>y su adopción mediante</w:t>
      </w:r>
      <w:r w:rsidR="00922992">
        <w:rPr>
          <w:szCs w:val="28"/>
          <w:lang w:val="es-ES"/>
        </w:rPr>
        <w:t xml:space="preserve"> reforma </w:t>
      </w:r>
      <w:r w:rsidR="00DC76D9">
        <w:rPr>
          <w:szCs w:val="28"/>
          <w:lang w:val="es-ES"/>
        </w:rPr>
        <w:t xml:space="preserve">debidamente solemnizada por escritura pública. Que en lo que hace a la sociedad de hecho conformada por Luis Fernando Mejía Otero y Tamer Ltda., esta no ha sido disuelta y liquidada sino que fue enajenada a sus competidores por lo que no resulta aplicable el artículo 256 del </w:t>
      </w:r>
      <w:r w:rsidR="001811E3">
        <w:rPr>
          <w:szCs w:val="28"/>
          <w:lang w:val="es-ES"/>
        </w:rPr>
        <w:t xml:space="preserve">Código </w:t>
      </w:r>
      <w:r w:rsidR="00DC76D9">
        <w:rPr>
          <w:szCs w:val="28"/>
          <w:lang w:val="es-ES"/>
        </w:rPr>
        <w:t xml:space="preserve">de </w:t>
      </w:r>
      <w:r w:rsidR="001811E3">
        <w:rPr>
          <w:szCs w:val="28"/>
          <w:lang w:val="es-ES"/>
        </w:rPr>
        <w:t>Comercio</w:t>
      </w:r>
      <w:r w:rsidR="00DC76D9">
        <w:rPr>
          <w:szCs w:val="28"/>
          <w:lang w:val="es-ES"/>
        </w:rPr>
        <w:t xml:space="preserve">. </w:t>
      </w:r>
    </w:p>
    <w:p w:rsidR="00DC76D9" w:rsidRDefault="00DC76D9" w:rsidP="00193FAE">
      <w:pPr>
        <w:ind w:firstLine="709"/>
        <w:rPr>
          <w:szCs w:val="28"/>
          <w:lang w:val="es-ES"/>
        </w:rPr>
      </w:pPr>
    </w:p>
    <w:p w:rsidR="00DC76D9" w:rsidRDefault="00447782" w:rsidP="00193FAE">
      <w:pPr>
        <w:ind w:firstLine="709"/>
        <w:rPr>
          <w:szCs w:val="28"/>
          <w:lang w:val="es-ES"/>
        </w:rPr>
      </w:pPr>
      <w:r>
        <w:rPr>
          <w:szCs w:val="28"/>
          <w:lang w:val="es-ES"/>
        </w:rPr>
        <w:t>B.</w:t>
      </w:r>
      <w:r>
        <w:rPr>
          <w:szCs w:val="28"/>
          <w:lang w:val="es-ES"/>
        </w:rPr>
        <w:tab/>
      </w:r>
      <w:r w:rsidR="00DC76D9">
        <w:rPr>
          <w:szCs w:val="28"/>
          <w:lang w:val="es-ES"/>
        </w:rPr>
        <w:t xml:space="preserve">Ya en lo suyo, manifiesta </w:t>
      </w:r>
      <w:r w:rsidR="00C421B7">
        <w:rPr>
          <w:szCs w:val="28"/>
          <w:lang w:val="es-ES"/>
        </w:rPr>
        <w:t xml:space="preserve">el juzgador colegiado </w:t>
      </w:r>
      <w:r w:rsidR="00DC76D9">
        <w:rPr>
          <w:szCs w:val="28"/>
          <w:lang w:val="es-ES"/>
        </w:rPr>
        <w:t>que su decisión se circunscribe a examinar</w:t>
      </w:r>
      <w:r w:rsidR="000508A6">
        <w:rPr>
          <w:szCs w:val="28"/>
          <w:lang w:val="es-ES"/>
        </w:rPr>
        <w:t xml:space="preserve"> la determinación del </w:t>
      </w:r>
      <w:r w:rsidR="00DC594D">
        <w:rPr>
          <w:szCs w:val="28"/>
          <w:lang w:val="es-ES"/>
        </w:rPr>
        <w:t>juzgado</w:t>
      </w:r>
      <w:r w:rsidR="000508A6">
        <w:rPr>
          <w:szCs w:val="28"/>
          <w:lang w:val="es-ES"/>
        </w:rPr>
        <w:t xml:space="preserve"> de dar por probada la excepción previa de prescripción.</w:t>
      </w:r>
    </w:p>
    <w:p w:rsidR="000508A6" w:rsidRDefault="000508A6" w:rsidP="00193FAE">
      <w:pPr>
        <w:ind w:firstLine="709"/>
        <w:rPr>
          <w:szCs w:val="28"/>
          <w:lang w:val="es-ES"/>
        </w:rPr>
      </w:pPr>
    </w:p>
    <w:p w:rsidR="000508A6" w:rsidRDefault="004F3E97" w:rsidP="00193FAE">
      <w:pPr>
        <w:ind w:firstLine="709"/>
        <w:rPr>
          <w:szCs w:val="28"/>
          <w:lang w:val="es-ES"/>
        </w:rPr>
      </w:pPr>
      <w:r>
        <w:rPr>
          <w:szCs w:val="28"/>
          <w:lang w:val="es-ES"/>
        </w:rPr>
        <w:t>1.</w:t>
      </w:r>
      <w:r>
        <w:rPr>
          <w:szCs w:val="28"/>
          <w:lang w:val="es-ES"/>
        </w:rPr>
        <w:tab/>
      </w:r>
      <w:r w:rsidR="000508A6">
        <w:rPr>
          <w:szCs w:val="28"/>
          <w:lang w:val="es-ES"/>
        </w:rPr>
        <w:t xml:space="preserve">Al efecto, y luego de una breve introducción teórica al régimen de prescripción del </w:t>
      </w:r>
      <w:r w:rsidR="008B0096">
        <w:rPr>
          <w:szCs w:val="28"/>
          <w:lang w:val="es-ES"/>
        </w:rPr>
        <w:t>Código Civil</w:t>
      </w:r>
      <w:r w:rsidR="000508A6">
        <w:rPr>
          <w:szCs w:val="28"/>
          <w:lang w:val="es-ES"/>
        </w:rPr>
        <w:t xml:space="preserve">, a la posibilidad de alegar la extintiva como excepción previa y su reconocimiento mediante sentencia anticipada y a la norma especial contenida en el artículo 256 del </w:t>
      </w:r>
      <w:r w:rsidR="001811E3">
        <w:rPr>
          <w:szCs w:val="28"/>
          <w:lang w:val="es-ES"/>
        </w:rPr>
        <w:t xml:space="preserve">Código </w:t>
      </w:r>
      <w:r w:rsidR="000508A6">
        <w:rPr>
          <w:szCs w:val="28"/>
          <w:lang w:val="es-ES"/>
        </w:rPr>
        <w:t xml:space="preserve">de </w:t>
      </w:r>
      <w:r w:rsidR="001811E3">
        <w:rPr>
          <w:szCs w:val="28"/>
          <w:lang w:val="es-ES"/>
        </w:rPr>
        <w:t xml:space="preserve">Comercio </w:t>
      </w:r>
      <w:r w:rsidR="000508A6">
        <w:rPr>
          <w:szCs w:val="28"/>
          <w:lang w:val="es-ES"/>
        </w:rPr>
        <w:t>atinente a la prescripción quinquenal de las acciones de los asociados entre sí, por razón de la sociedad y de los liquidadores contra los asociados</w:t>
      </w:r>
      <w:r w:rsidR="003839C3">
        <w:rPr>
          <w:szCs w:val="28"/>
          <w:lang w:val="es-ES"/>
        </w:rPr>
        <w:t>, examina, pretensión por pretensión</w:t>
      </w:r>
      <w:r w:rsidR="001811E3">
        <w:rPr>
          <w:szCs w:val="28"/>
          <w:lang w:val="es-ES"/>
        </w:rPr>
        <w:t>,</w:t>
      </w:r>
      <w:r w:rsidR="003839C3">
        <w:rPr>
          <w:szCs w:val="28"/>
          <w:lang w:val="es-ES"/>
        </w:rPr>
        <w:t xml:space="preserve"> </w:t>
      </w:r>
      <w:r w:rsidR="00DC594D">
        <w:rPr>
          <w:szCs w:val="28"/>
          <w:lang w:val="es-ES"/>
        </w:rPr>
        <w:t>si se halla</w:t>
      </w:r>
      <w:r w:rsidR="00C421B7">
        <w:rPr>
          <w:szCs w:val="28"/>
          <w:lang w:val="es-ES"/>
        </w:rPr>
        <w:t>n</w:t>
      </w:r>
      <w:r w:rsidR="00DC594D">
        <w:rPr>
          <w:szCs w:val="28"/>
          <w:lang w:val="es-ES"/>
        </w:rPr>
        <w:t xml:space="preserve"> prescrita</w:t>
      </w:r>
      <w:r w:rsidR="00C421B7">
        <w:rPr>
          <w:szCs w:val="28"/>
          <w:lang w:val="es-ES"/>
        </w:rPr>
        <w:t>s</w:t>
      </w:r>
      <w:r w:rsidR="003839C3">
        <w:rPr>
          <w:szCs w:val="28"/>
          <w:lang w:val="es-ES"/>
        </w:rPr>
        <w:t>, así:</w:t>
      </w:r>
    </w:p>
    <w:p w:rsidR="003839C3" w:rsidRDefault="003839C3" w:rsidP="00193FAE">
      <w:pPr>
        <w:ind w:firstLine="709"/>
        <w:rPr>
          <w:szCs w:val="28"/>
          <w:lang w:val="es-ES"/>
        </w:rPr>
      </w:pPr>
    </w:p>
    <w:p w:rsidR="00DC594D" w:rsidRDefault="003839C3" w:rsidP="00193FAE">
      <w:pPr>
        <w:ind w:firstLine="709"/>
        <w:rPr>
          <w:szCs w:val="28"/>
          <w:lang w:val="es-ES"/>
        </w:rPr>
      </w:pPr>
      <w:r>
        <w:rPr>
          <w:szCs w:val="28"/>
          <w:lang w:val="es-ES"/>
        </w:rPr>
        <w:t>a.</w:t>
      </w:r>
      <w:r>
        <w:rPr>
          <w:szCs w:val="28"/>
          <w:lang w:val="es-ES"/>
        </w:rPr>
        <w:tab/>
      </w:r>
      <w:r w:rsidR="00DC594D">
        <w:rPr>
          <w:szCs w:val="28"/>
          <w:lang w:val="es-ES"/>
        </w:rPr>
        <w:t xml:space="preserve">Se configura la excepción previa de prescripción de la acción propuesta por la parte demandada en relación con la </w:t>
      </w:r>
      <w:r w:rsidRPr="004B51D6">
        <w:rPr>
          <w:szCs w:val="28"/>
          <w:u w:val="single"/>
          <w:lang w:val="es-ES"/>
        </w:rPr>
        <w:t xml:space="preserve">primera </w:t>
      </w:r>
      <w:r w:rsidR="00F50B5E" w:rsidRPr="004B51D6">
        <w:rPr>
          <w:szCs w:val="28"/>
          <w:u w:val="single"/>
          <w:lang w:val="es-ES"/>
        </w:rPr>
        <w:t>pretensión</w:t>
      </w:r>
      <w:r w:rsidR="00F50B5E">
        <w:rPr>
          <w:szCs w:val="28"/>
          <w:lang w:val="es-ES"/>
        </w:rPr>
        <w:t xml:space="preserve">, </w:t>
      </w:r>
      <w:r>
        <w:rPr>
          <w:szCs w:val="28"/>
          <w:lang w:val="es-ES"/>
        </w:rPr>
        <w:t xml:space="preserve">que persigue </w:t>
      </w:r>
      <w:r w:rsidR="00F50B5E">
        <w:rPr>
          <w:szCs w:val="28"/>
          <w:lang w:val="es-ES"/>
        </w:rPr>
        <w:t>que se declare</w:t>
      </w:r>
      <w:r>
        <w:rPr>
          <w:szCs w:val="28"/>
          <w:lang w:val="es-ES"/>
        </w:rPr>
        <w:t xml:space="preserve"> que entre Luis Fernando Mejía Otero, Recolta Ltda., Mario Mejía Otero y Graciela Parra de Mejía existió una sociedad de hecho a partir de 1977 hasta el año 1981 fecha en que se liquidó la sociedad Recolta Ltda.</w:t>
      </w:r>
      <w:r w:rsidR="00F50B5E">
        <w:rPr>
          <w:szCs w:val="28"/>
          <w:lang w:val="es-ES"/>
        </w:rPr>
        <w:t xml:space="preserve"> Arriba a esta conclusión a partir de la </w:t>
      </w:r>
      <w:r w:rsidR="008B5A20">
        <w:rPr>
          <w:szCs w:val="28"/>
          <w:lang w:val="es-ES"/>
        </w:rPr>
        <w:t>confesión inserta en</w:t>
      </w:r>
      <w:r w:rsidR="00F50B5E">
        <w:rPr>
          <w:szCs w:val="28"/>
          <w:lang w:val="es-ES"/>
        </w:rPr>
        <w:t xml:space="preserve"> los hecho</w:t>
      </w:r>
      <w:r w:rsidR="008B5A20">
        <w:rPr>
          <w:szCs w:val="28"/>
          <w:lang w:val="es-ES"/>
        </w:rPr>
        <w:t>s</w:t>
      </w:r>
      <w:r w:rsidR="00F50B5E">
        <w:rPr>
          <w:szCs w:val="28"/>
          <w:lang w:val="es-ES"/>
        </w:rPr>
        <w:t xml:space="preserve"> 10 y 12</w:t>
      </w:r>
      <w:r w:rsidR="008B5A20">
        <w:rPr>
          <w:szCs w:val="28"/>
          <w:lang w:val="es-ES"/>
        </w:rPr>
        <w:t>, sin que por razón de la informalidad de las sociedades de hecho y, de acuerdo con jurisprudencia de la Corte, como están en permanente estado de liquidación, se requiera que su disolución se deba realizar mediante una reforma estatutaria para predicar que la prescripción deba contabilizarse a partir de la adopción de esa reforma. Por tanto, al afirmar la actora que la sociedad de hecho se liquidó en 1981</w:t>
      </w:r>
      <w:r w:rsidR="00B956FF">
        <w:rPr>
          <w:szCs w:val="28"/>
          <w:lang w:val="es-ES"/>
        </w:rPr>
        <w:t xml:space="preserve"> es evidente que transcurrieron más </w:t>
      </w:r>
      <w:r w:rsidR="008B0096">
        <w:rPr>
          <w:szCs w:val="28"/>
          <w:lang w:val="es-ES"/>
        </w:rPr>
        <w:t xml:space="preserve">de </w:t>
      </w:r>
      <w:r w:rsidR="00B956FF">
        <w:rPr>
          <w:szCs w:val="28"/>
          <w:lang w:val="es-ES"/>
        </w:rPr>
        <w:t>los cinco años a que alude el artículo 256 del Código de Comercio, “</w:t>
      </w:r>
      <w:r w:rsidR="00B956FF" w:rsidRPr="004B51D6">
        <w:rPr>
          <w:i/>
          <w:szCs w:val="28"/>
          <w:lang w:val="es-ES"/>
        </w:rPr>
        <w:t>por lo que, cualquier inconformidad con ocasión de la forma en que se distribuyeron las cuotas de interés social, por razón de dicha sociedad de hecho, se encuentra prescrita</w:t>
      </w:r>
      <w:r w:rsidR="00B956FF">
        <w:rPr>
          <w:szCs w:val="28"/>
          <w:lang w:val="es-ES"/>
        </w:rPr>
        <w:t>” (f. 35, c. Corte).</w:t>
      </w:r>
    </w:p>
    <w:p w:rsidR="00B956FF" w:rsidRDefault="00B956FF" w:rsidP="00193FAE">
      <w:pPr>
        <w:ind w:firstLine="709"/>
        <w:rPr>
          <w:szCs w:val="28"/>
          <w:lang w:val="es-ES"/>
        </w:rPr>
      </w:pPr>
    </w:p>
    <w:p w:rsidR="00B956FF" w:rsidRDefault="00B956FF" w:rsidP="00193FAE">
      <w:pPr>
        <w:ind w:firstLine="709"/>
        <w:rPr>
          <w:szCs w:val="28"/>
          <w:lang w:val="es-ES"/>
        </w:rPr>
      </w:pPr>
      <w:r>
        <w:rPr>
          <w:szCs w:val="28"/>
          <w:lang w:val="es-ES"/>
        </w:rPr>
        <w:t>b.</w:t>
      </w:r>
      <w:r>
        <w:rPr>
          <w:szCs w:val="28"/>
          <w:lang w:val="es-ES"/>
        </w:rPr>
        <w:tab/>
        <w:t xml:space="preserve">Prospera también la excepción de prescripción extintiva en relación con la </w:t>
      </w:r>
      <w:r w:rsidRPr="004B51D6">
        <w:rPr>
          <w:szCs w:val="28"/>
          <w:u w:val="single"/>
          <w:lang w:val="es-ES"/>
        </w:rPr>
        <w:t>segunda pretensión</w:t>
      </w:r>
      <w:r>
        <w:rPr>
          <w:szCs w:val="28"/>
          <w:lang w:val="es-ES"/>
        </w:rPr>
        <w:t xml:space="preserve"> con la que la parte actora persigue que Luis Fernando Mejía Otero sea declarado socio industrial de la sociedad Recolta limitada a partir de 1977 y hasta el año de su liquidación.</w:t>
      </w:r>
    </w:p>
    <w:p w:rsidR="00B956FF" w:rsidRDefault="00B956FF" w:rsidP="00193FAE">
      <w:pPr>
        <w:ind w:firstLine="709"/>
        <w:rPr>
          <w:szCs w:val="28"/>
          <w:lang w:val="es-ES"/>
        </w:rPr>
      </w:pPr>
    </w:p>
    <w:p w:rsidR="00B956FF" w:rsidRDefault="00B956FF" w:rsidP="00193FAE">
      <w:pPr>
        <w:ind w:firstLine="709"/>
        <w:rPr>
          <w:szCs w:val="28"/>
          <w:lang w:val="es-ES"/>
        </w:rPr>
      </w:pPr>
      <w:r>
        <w:rPr>
          <w:szCs w:val="28"/>
          <w:lang w:val="es-ES"/>
        </w:rPr>
        <w:t>c.</w:t>
      </w:r>
      <w:r>
        <w:rPr>
          <w:szCs w:val="28"/>
          <w:lang w:val="es-ES"/>
        </w:rPr>
        <w:tab/>
      </w:r>
      <w:r w:rsidR="00957E86">
        <w:rPr>
          <w:szCs w:val="28"/>
          <w:lang w:val="es-ES"/>
        </w:rPr>
        <w:t>Respecto de</w:t>
      </w:r>
      <w:r w:rsidR="00457D5E">
        <w:rPr>
          <w:szCs w:val="28"/>
          <w:lang w:val="es-ES"/>
        </w:rPr>
        <w:t xml:space="preserve"> la </w:t>
      </w:r>
      <w:r w:rsidR="00457D5E" w:rsidRPr="004B51D6">
        <w:rPr>
          <w:szCs w:val="28"/>
          <w:u w:val="single"/>
          <w:lang w:val="es-ES"/>
        </w:rPr>
        <w:t>pretensión tercera</w:t>
      </w:r>
      <w:r w:rsidR="00457D5E">
        <w:rPr>
          <w:szCs w:val="28"/>
          <w:lang w:val="es-ES"/>
        </w:rPr>
        <w:t>, en la que se pide que se declare que Luis Fernando Mejía Otero y Mario Mejía Otero fueron socios desde su constitución en proporciones iguales, en las sociedades Reusar Ltda., Envacar Ltda., Reciclar Ltda., Rena Ltda., y Renco Ltda.</w:t>
      </w:r>
      <w:r w:rsidR="005745CC">
        <w:rPr>
          <w:szCs w:val="28"/>
          <w:lang w:val="es-ES"/>
        </w:rPr>
        <w:t>,</w:t>
      </w:r>
      <w:r w:rsidR="00957E86">
        <w:rPr>
          <w:szCs w:val="28"/>
          <w:lang w:val="es-ES"/>
        </w:rPr>
        <w:t xml:space="preserve"> considera el Tribunal que, de conformidad con certificados aportados por la parte demandante, en Envacar Ltda., Reciclar Ltda., Renco Ltda. y Rena Ltda. por razón de reformas estatutarias adoptadas luego de su constitución, terminó Luis</w:t>
      </w:r>
      <w:r w:rsidR="004B51D6">
        <w:rPr>
          <w:szCs w:val="28"/>
          <w:lang w:val="es-ES"/>
        </w:rPr>
        <w:t xml:space="preserve"> Fernando Mejía Otero con el 90%</w:t>
      </w:r>
      <w:r w:rsidR="00957E86">
        <w:rPr>
          <w:szCs w:val="28"/>
          <w:lang w:val="es-ES"/>
        </w:rPr>
        <w:t xml:space="preserve"> del capital social en cada una de ellas las que fueron liquidadas en 1999 la primera y la última, en 2002 Renco Ltda. y en 2004 Reciclar Ltda. </w:t>
      </w:r>
      <w:r w:rsidR="004B51D6">
        <w:rPr>
          <w:szCs w:val="28"/>
          <w:lang w:val="es-ES"/>
        </w:rPr>
        <w:t xml:space="preserve">Constató </w:t>
      </w:r>
      <w:r w:rsidR="00957E86">
        <w:rPr>
          <w:szCs w:val="28"/>
          <w:lang w:val="es-ES"/>
        </w:rPr>
        <w:t xml:space="preserve">que quedaba vigente la sociedad </w:t>
      </w:r>
      <w:r w:rsidR="004B51D6">
        <w:rPr>
          <w:szCs w:val="28"/>
          <w:lang w:val="es-ES"/>
        </w:rPr>
        <w:t xml:space="preserve">Reusar </w:t>
      </w:r>
      <w:r w:rsidR="00957E86">
        <w:rPr>
          <w:szCs w:val="28"/>
          <w:lang w:val="es-ES"/>
        </w:rPr>
        <w:t>Ltda.</w:t>
      </w:r>
      <w:r w:rsidR="00751128">
        <w:rPr>
          <w:szCs w:val="28"/>
          <w:lang w:val="es-ES"/>
        </w:rPr>
        <w:t xml:space="preserve"> por lo que la pretensión orientada a declarar que Luis Fernando Mejía y Mario Mejía fueron socios en esta compañía desde su constitución no está cobijada por la prescripción del artículo 256 del </w:t>
      </w:r>
      <w:r w:rsidR="004622FD">
        <w:rPr>
          <w:szCs w:val="28"/>
          <w:lang w:val="es-ES"/>
        </w:rPr>
        <w:t xml:space="preserve">Código </w:t>
      </w:r>
      <w:r w:rsidR="00751128">
        <w:rPr>
          <w:szCs w:val="28"/>
          <w:lang w:val="es-ES"/>
        </w:rPr>
        <w:t xml:space="preserve">de </w:t>
      </w:r>
      <w:r w:rsidR="004622FD">
        <w:rPr>
          <w:szCs w:val="28"/>
          <w:lang w:val="es-ES"/>
        </w:rPr>
        <w:t>Comercio</w:t>
      </w:r>
      <w:r w:rsidR="00751128">
        <w:rPr>
          <w:szCs w:val="28"/>
          <w:lang w:val="es-ES"/>
        </w:rPr>
        <w:t>.</w:t>
      </w:r>
      <w:r w:rsidR="00FC5A33">
        <w:rPr>
          <w:szCs w:val="28"/>
          <w:lang w:val="es-ES"/>
        </w:rPr>
        <w:t xml:space="preserve"> Las demás sí.</w:t>
      </w:r>
    </w:p>
    <w:p w:rsidR="00751128" w:rsidRDefault="00751128" w:rsidP="00193FAE">
      <w:pPr>
        <w:ind w:firstLine="709"/>
        <w:rPr>
          <w:szCs w:val="28"/>
          <w:lang w:val="es-ES"/>
        </w:rPr>
      </w:pPr>
    </w:p>
    <w:p w:rsidR="00751128" w:rsidRDefault="00751128" w:rsidP="00193FAE">
      <w:pPr>
        <w:ind w:firstLine="709"/>
        <w:rPr>
          <w:szCs w:val="28"/>
          <w:lang w:val="es-ES"/>
        </w:rPr>
      </w:pPr>
      <w:r>
        <w:rPr>
          <w:szCs w:val="28"/>
          <w:lang w:val="es-ES"/>
        </w:rPr>
        <w:t>d.</w:t>
      </w:r>
      <w:r>
        <w:rPr>
          <w:szCs w:val="28"/>
          <w:lang w:val="es-ES"/>
        </w:rPr>
        <w:tab/>
        <w:t xml:space="preserve">En referencia a la </w:t>
      </w:r>
      <w:r w:rsidRPr="004B51D6">
        <w:rPr>
          <w:szCs w:val="28"/>
          <w:u w:val="single"/>
          <w:lang w:val="es-ES"/>
        </w:rPr>
        <w:t>cuarta pretensión</w:t>
      </w:r>
      <w:r>
        <w:rPr>
          <w:szCs w:val="28"/>
          <w:lang w:val="es-ES"/>
        </w:rPr>
        <w:t>, que se dirige a que se declare que Luis Fernando Mejía fue socio de hecho de la sociedad Tamer Ltda., estima el Tribunal que no se encuentra en consonancia con la pretensión octava en la que se solicitó declarar que con los recursos de la sociedad de hecho conformada entre Tamer Ltda. y Luis Fernando Mejía Otero en partes iguales se adquirieron algunos inmuebles: “</w:t>
      </w:r>
      <w:r w:rsidRPr="000B176A">
        <w:rPr>
          <w:i/>
          <w:szCs w:val="28"/>
          <w:lang w:val="es-ES"/>
        </w:rPr>
        <w:t>no es lo mismo</w:t>
      </w:r>
      <w:r>
        <w:rPr>
          <w:szCs w:val="28"/>
          <w:lang w:val="es-ES"/>
        </w:rPr>
        <w:t xml:space="preserve"> -dice el Tribunal-</w:t>
      </w:r>
      <w:r w:rsidR="00FD7EAF">
        <w:rPr>
          <w:szCs w:val="28"/>
          <w:lang w:val="es-ES"/>
        </w:rPr>
        <w:t xml:space="preserve"> </w:t>
      </w:r>
      <w:r w:rsidR="00FD7EAF" w:rsidRPr="000B176A">
        <w:rPr>
          <w:i/>
          <w:szCs w:val="28"/>
          <w:lang w:val="es-ES"/>
        </w:rPr>
        <w:t>pretender que se declare que el actor fue socio de hecho de la sociedad Tamer limitada, legalmente constituida, a que se declare que entre aquel y la sociedad Tamer limitada existió una sociedad de hecho</w:t>
      </w:r>
      <w:r w:rsidR="00FD7EAF">
        <w:rPr>
          <w:szCs w:val="28"/>
          <w:lang w:val="es-ES"/>
        </w:rPr>
        <w:t>” (f. 37, c. Corte), pero en un esfuerzo interpretativo concluy</w:t>
      </w:r>
      <w:r w:rsidR="000B176A">
        <w:rPr>
          <w:szCs w:val="28"/>
          <w:lang w:val="es-ES"/>
        </w:rPr>
        <w:t>e</w:t>
      </w:r>
      <w:r w:rsidR="00FD7EAF">
        <w:rPr>
          <w:szCs w:val="28"/>
          <w:lang w:val="es-ES"/>
        </w:rPr>
        <w:t xml:space="preserve"> que lo que pretende la parte demandante es que se declare que hay una sociedad de hecho entre </w:t>
      </w:r>
      <w:r w:rsidR="005745CC">
        <w:rPr>
          <w:szCs w:val="28"/>
          <w:lang w:val="es-ES"/>
        </w:rPr>
        <w:t>Luis Fernando</w:t>
      </w:r>
      <w:r w:rsidR="00FD7EAF">
        <w:rPr>
          <w:szCs w:val="28"/>
          <w:lang w:val="es-ES"/>
        </w:rPr>
        <w:t xml:space="preserve"> Mejía Otero y la sociedad Tamer Ltda. </w:t>
      </w:r>
    </w:p>
    <w:p w:rsidR="000B176A" w:rsidRDefault="000B176A" w:rsidP="00193FAE">
      <w:pPr>
        <w:ind w:firstLine="709"/>
        <w:rPr>
          <w:szCs w:val="28"/>
          <w:lang w:val="es-ES"/>
        </w:rPr>
      </w:pPr>
    </w:p>
    <w:p w:rsidR="00FD7EAF" w:rsidRDefault="00FD7EAF" w:rsidP="00193FAE">
      <w:pPr>
        <w:ind w:firstLine="709"/>
        <w:rPr>
          <w:szCs w:val="28"/>
          <w:lang w:val="es-ES"/>
        </w:rPr>
      </w:pPr>
      <w:r>
        <w:rPr>
          <w:szCs w:val="28"/>
          <w:lang w:val="es-ES"/>
        </w:rPr>
        <w:t xml:space="preserve">Disipada la anterior duda, agrega que de haberse liquidado la sociedades de hecho enunciadas en sus pretensiones, en el año 1994, esta cuarta pretensión debe declararse prescrita, al haber transcurrido más de los cinco </w:t>
      </w:r>
      <w:r w:rsidR="000D6679">
        <w:rPr>
          <w:szCs w:val="28"/>
          <w:lang w:val="es-ES"/>
        </w:rPr>
        <w:t>años hasta el 23 de marzo de 2010 cuando se presentó la demanda.</w:t>
      </w:r>
    </w:p>
    <w:p w:rsidR="000D6679" w:rsidRDefault="000D6679" w:rsidP="00193FAE">
      <w:pPr>
        <w:ind w:firstLine="709"/>
        <w:rPr>
          <w:szCs w:val="28"/>
          <w:lang w:val="es-ES"/>
        </w:rPr>
      </w:pPr>
    </w:p>
    <w:p w:rsidR="000D6679" w:rsidRDefault="000D6679" w:rsidP="00193FAE">
      <w:pPr>
        <w:ind w:firstLine="709"/>
        <w:rPr>
          <w:szCs w:val="28"/>
          <w:lang w:val="es-ES"/>
        </w:rPr>
      </w:pPr>
      <w:r>
        <w:rPr>
          <w:szCs w:val="28"/>
          <w:lang w:val="es-ES"/>
        </w:rPr>
        <w:t>e.</w:t>
      </w:r>
      <w:r>
        <w:rPr>
          <w:szCs w:val="28"/>
          <w:lang w:val="es-ES"/>
        </w:rPr>
        <w:tab/>
        <w:t xml:space="preserve">Cuanto hace a la </w:t>
      </w:r>
      <w:r w:rsidRPr="000B176A">
        <w:rPr>
          <w:szCs w:val="28"/>
          <w:u w:val="single"/>
          <w:lang w:val="es-ES"/>
        </w:rPr>
        <w:t>quinta pretensión</w:t>
      </w:r>
      <w:r>
        <w:rPr>
          <w:szCs w:val="28"/>
          <w:lang w:val="es-ES"/>
        </w:rPr>
        <w:t xml:space="preserve"> dirigida que se declare que con los recursos de la sociedad de hecho conformada por Luis Fernando Mejía Otero y Recolta Ltda. y con los de la sociedad Recolta Ltda. de la cual Luis Fernando Mejía Otero fue socio industrial, se amasaron bienes que allí se relacionan, estima el Tribunal que también se encuentra prescrita por la misma razón antes mencionada, esto es, el trascurso del quinquenio legal para impetrar la acción. De allí deduce que esa prescripción cobija los bienes situados en Barranquilla, de matrículas 040-33342 y 040-65849.</w:t>
      </w:r>
    </w:p>
    <w:p w:rsidR="000D6679" w:rsidRDefault="000D6679" w:rsidP="00193FAE">
      <w:pPr>
        <w:ind w:firstLine="709"/>
        <w:rPr>
          <w:szCs w:val="28"/>
          <w:lang w:val="es-ES"/>
        </w:rPr>
      </w:pPr>
    </w:p>
    <w:p w:rsidR="000D6679" w:rsidRDefault="000D6679" w:rsidP="00193FAE">
      <w:pPr>
        <w:ind w:firstLine="709"/>
        <w:rPr>
          <w:szCs w:val="28"/>
          <w:lang w:val="es-ES"/>
        </w:rPr>
      </w:pPr>
      <w:r>
        <w:rPr>
          <w:szCs w:val="28"/>
          <w:lang w:val="es-ES"/>
        </w:rPr>
        <w:t>f.</w:t>
      </w:r>
      <w:r>
        <w:rPr>
          <w:szCs w:val="28"/>
          <w:lang w:val="es-ES"/>
        </w:rPr>
        <w:tab/>
        <w:t xml:space="preserve">Referente a la </w:t>
      </w:r>
      <w:r w:rsidRPr="000B176A">
        <w:rPr>
          <w:szCs w:val="28"/>
          <w:u w:val="single"/>
          <w:lang w:val="es-ES"/>
        </w:rPr>
        <w:t xml:space="preserve">sexta pretensión </w:t>
      </w:r>
      <w:r>
        <w:rPr>
          <w:szCs w:val="28"/>
          <w:lang w:val="es-ES"/>
        </w:rPr>
        <w:t xml:space="preserve">con la cual se persigue que se declare </w:t>
      </w:r>
      <w:r w:rsidR="000B176A">
        <w:rPr>
          <w:szCs w:val="28"/>
          <w:lang w:val="es-ES"/>
        </w:rPr>
        <w:t xml:space="preserve">que </w:t>
      </w:r>
      <w:r>
        <w:rPr>
          <w:szCs w:val="28"/>
          <w:lang w:val="es-ES"/>
        </w:rPr>
        <w:t>con los recursos de la sociedad Reusar Ltda.</w:t>
      </w:r>
      <w:r w:rsidR="00B6600F">
        <w:rPr>
          <w:szCs w:val="28"/>
          <w:lang w:val="es-ES"/>
        </w:rPr>
        <w:t xml:space="preserve"> se adquirieron algunos inmuebles allí enunciados, estima el Tribunal que no se halla sometida la prescripción ya que esta sociedad se encuentra todavía vigente, por lo</w:t>
      </w:r>
      <w:r w:rsidR="00FC5A33">
        <w:rPr>
          <w:szCs w:val="28"/>
          <w:lang w:val="es-ES"/>
        </w:rPr>
        <w:t xml:space="preserve"> que los lotes  D (matrícula 50C-40170265 )  y C (matrícula 50</w:t>
      </w:r>
      <w:r w:rsidR="00B6600F">
        <w:rPr>
          <w:szCs w:val="28"/>
          <w:lang w:val="es-ES"/>
        </w:rPr>
        <w:t>C-40170266) situados en Bogotá “</w:t>
      </w:r>
      <w:r w:rsidR="00B6600F" w:rsidRPr="000B176A">
        <w:rPr>
          <w:i/>
          <w:szCs w:val="28"/>
          <w:lang w:val="es-ES"/>
        </w:rPr>
        <w:t>son pasibles a la demanda que se incoa</w:t>
      </w:r>
      <w:r w:rsidR="00B6600F">
        <w:rPr>
          <w:szCs w:val="28"/>
          <w:lang w:val="es-ES"/>
        </w:rPr>
        <w:t>”.</w:t>
      </w:r>
    </w:p>
    <w:p w:rsidR="000D6679" w:rsidRDefault="000D6679" w:rsidP="00193FAE">
      <w:pPr>
        <w:ind w:firstLine="709"/>
        <w:rPr>
          <w:szCs w:val="28"/>
          <w:lang w:val="es-ES"/>
        </w:rPr>
      </w:pPr>
    </w:p>
    <w:p w:rsidR="000D6679" w:rsidRDefault="00B6600F" w:rsidP="00193FAE">
      <w:pPr>
        <w:ind w:firstLine="709"/>
        <w:rPr>
          <w:szCs w:val="28"/>
          <w:lang w:val="es-ES"/>
        </w:rPr>
      </w:pPr>
      <w:r>
        <w:rPr>
          <w:szCs w:val="28"/>
          <w:lang w:val="es-ES"/>
        </w:rPr>
        <w:t>g.</w:t>
      </w:r>
      <w:r>
        <w:rPr>
          <w:szCs w:val="28"/>
          <w:lang w:val="es-ES"/>
        </w:rPr>
        <w:tab/>
        <w:t xml:space="preserve">Sobre la </w:t>
      </w:r>
      <w:r w:rsidRPr="000B176A">
        <w:rPr>
          <w:szCs w:val="28"/>
          <w:u w:val="single"/>
          <w:lang w:val="es-ES"/>
        </w:rPr>
        <w:t>séptima pretensión</w:t>
      </w:r>
      <w:r>
        <w:rPr>
          <w:szCs w:val="28"/>
          <w:lang w:val="es-ES"/>
        </w:rPr>
        <w:t xml:space="preserve"> que busca que se declare </w:t>
      </w:r>
      <w:r w:rsidR="000B176A">
        <w:rPr>
          <w:szCs w:val="28"/>
          <w:lang w:val="es-ES"/>
        </w:rPr>
        <w:t xml:space="preserve">que </w:t>
      </w:r>
      <w:r>
        <w:rPr>
          <w:szCs w:val="28"/>
          <w:lang w:val="es-ES"/>
        </w:rPr>
        <w:t xml:space="preserve">con los recursos de la sociedad </w:t>
      </w:r>
      <w:r w:rsidR="000B176A">
        <w:rPr>
          <w:szCs w:val="28"/>
          <w:lang w:val="es-ES"/>
        </w:rPr>
        <w:t xml:space="preserve">Envacar </w:t>
      </w:r>
      <w:r>
        <w:rPr>
          <w:szCs w:val="28"/>
          <w:lang w:val="es-ES"/>
        </w:rPr>
        <w:t xml:space="preserve">Ltda. se adquirieron algunos </w:t>
      </w:r>
      <w:r w:rsidR="000B176A">
        <w:rPr>
          <w:szCs w:val="28"/>
          <w:lang w:val="es-ES"/>
        </w:rPr>
        <w:t>bienes</w:t>
      </w:r>
      <w:r>
        <w:rPr>
          <w:szCs w:val="28"/>
          <w:lang w:val="es-ES"/>
        </w:rPr>
        <w:t xml:space="preserve"> que allí se relacionan, dice el Tribunal que al estar liquidada dicha sociedad desde el </w:t>
      </w:r>
      <w:r w:rsidR="00FC5A33">
        <w:rPr>
          <w:szCs w:val="28"/>
          <w:lang w:val="es-ES"/>
        </w:rPr>
        <w:t>6</w:t>
      </w:r>
      <w:r>
        <w:rPr>
          <w:szCs w:val="28"/>
          <w:lang w:val="es-ES"/>
        </w:rPr>
        <w:t xml:space="preserve"> de enero de 1999</w:t>
      </w:r>
      <w:r w:rsidR="00FC5A33">
        <w:rPr>
          <w:szCs w:val="28"/>
          <w:lang w:val="es-ES"/>
        </w:rPr>
        <w:t>,</w:t>
      </w:r>
      <w:r>
        <w:rPr>
          <w:szCs w:val="28"/>
          <w:lang w:val="es-ES"/>
        </w:rPr>
        <w:t xml:space="preserve"> cualquier pretensión hacia ésta se encuentra prescrita y lo mismo ocurre con la posibilidad de perseguir los bienes que la conformaban, esto es:</w:t>
      </w:r>
      <w:r w:rsidR="00097BF7">
        <w:rPr>
          <w:szCs w:val="28"/>
          <w:lang w:val="es-ES"/>
        </w:rPr>
        <w:t xml:space="preserve"> el lote sito en Barranquilla de matrícula 040-223298 y el apartamento 1302 ubicad</w:t>
      </w:r>
      <w:r w:rsidR="00FC5A33">
        <w:rPr>
          <w:szCs w:val="28"/>
          <w:lang w:val="es-ES"/>
        </w:rPr>
        <w:t>o</w:t>
      </w:r>
      <w:r w:rsidR="00097BF7">
        <w:rPr>
          <w:szCs w:val="28"/>
          <w:lang w:val="es-ES"/>
        </w:rPr>
        <w:t xml:space="preserve"> en Cartagena de matrícula 060-115937. En consecuencia, prosigue </w:t>
      </w:r>
      <w:r w:rsidR="004622FD">
        <w:rPr>
          <w:szCs w:val="28"/>
          <w:lang w:val="es-ES"/>
        </w:rPr>
        <w:t xml:space="preserve">la Colegiatura, </w:t>
      </w:r>
      <w:r w:rsidR="00097BF7">
        <w:rPr>
          <w:szCs w:val="28"/>
          <w:lang w:val="es-ES"/>
        </w:rPr>
        <w:t xml:space="preserve">quedan resguardados por las prescripción de esta pretensión </w:t>
      </w:r>
      <w:r w:rsidR="000B176A">
        <w:rPr>
          <w:szCs w:val="28"/>
          <w:lang w:val="es-ES"/>
        </w:rPr>
        <w:t xml:space="preserve">Envacar </w:t>
      </w:r>
      <w:r w:rsidR="00097BF7">
        <w:rPr>
          <w:szCs w:val="28"/>
          <w:lang w:val="es-ES"/>
        </w:rPr>
        <w:t>Ltda., la sociedad Mejía Parra Otero y Cía. S. en C. y María del Carmen Ospina Pérez.</w:t>
      </w:r>
    </w:p>
    <w:p w:rsidR="00097BF7" w:rsidRDefault="00097BF7" w:rsidP="00193FAE">
      <w:pPr>
        <w:ind w:firstLine="709"/>
        <w:rPr>
          <w:szCs w:val="28"/>
          <w:lang w:val="es-ES"/>
        </w:rPr>
      </w:pPr>
    </w:p>
    <w:p w:rsidR="00097BF7" w:rsidRDefault="00097BF7" w:rsidP="00193FAE">
      <w:pPr>
        <w:ind w:firstLine="709"/>
        <w:rPr>
          <w:szCs w:val="28"/>
          <w:lang w:val="es-ES"/>
        </w:rPr>
      </w:pPr>
      <w:r>
        <w:rPr>
          <w:szCs w:val="28"/>
          <w:lang w:val="es-ES"/>
        </w:rPr>
        <w:t>h.</w:t>
      </w:r>
      <w:r>
        <w:rPr>
          <w:szCs w:val="28"/>
          <w:lang w:val="es-ES"/>
        </w:rPr>
        <w:tab/>
        <w:t xml:space="preserve">Respecto de la </w:t>
      </w:r>
      <w:r w:rsidRPr="009663DA">
        <w:rPr>
          <w:szCs w:val="28"/>
          <w:u w:val="single"/>
          <w:lang w:val="es-ES"/>
        </w:rPr>
        <w:t>octava pretensión</w:t>
      </w:r>
      <w:r>
        <w:rPr>
          <w:szCs w:val="28"/>
          <w:lang w:val="es-ES"/>
        </w:rPr>
        <w:t xml:space="preserve"> en la que se aspira que se declare que con los recursos de la sociedad de hecho conformada entre la sociedad Tamer limitada y Luis Fernando Mejía se adquirieron algunos bienes, estima el </w:t>
      </w:r>
      <w:r w:rsidRPr="00097BF7">
        <w:rPr>
          <w:i/>
          <w:szCs w:val="28"/>
          <w:lang w:val="es-ES"/>
        </w:rPr>
        <w:t>ad quem</w:t>
      </w:r>
      <w:r>
        <w:rPr>
          <w:szCs w:val="28"/>
          <w:lang w:val="es-ES"/>
        </w:rPr>
        <w:t xml:space="preserve"> que también esta prescrita en atención a que la parte demandante afirmó que en 1994 se liquidaron las sociedades de hecho, incluida en ellas la que se enuncia en esta pretensión.</w:t>
      </w:r>
      <w:r w:rsidR="004267E4">
        <w:rPr>
          <w:szCs w:val="28"/>
          <w:lang w:val="es-ES"/>
        </w:rPr>
        <w:t xml:space="preserve"> En consecuencia, </w:t>
      </w:r>
      <w:r w:rsidR="009663DA">
        <w:rPr>
          <w:szCs w:val="28"/>
          <w:lang w:val="es-ES"/>
        </w:rPr>
        <w:t xml:space="preserve">continúa </w:t>
      </w:r>
      <w:r w:rsidR="004267E4">
        <w:rPr>
          <w:szCs w:val="28"/>
          <w:lang w:val="es-ES"/>
        </w:rPr>
        <w:t xml:space="preserve">el Tribunal, los bienes que se adquirieron en esta también fueron alcanzados por la prescripción declarada: a) predio situado en Cartagena con folio 060-21322, b) lote ubicado en el municipio de La Estrella (Antioquia) de matrícula 001-84979,  c) inmueble ubicado en Mosquera de matrícula 50C-589076, d) lote </w:t>
      </w:r>
      <w:r w:rsidR="009663DA">
        <w:rPr>
          <w:szCs w:val="28"/>
          <w:lang w:val="es-ES"/>
        </w:rPr>
        <w:t xml:space="preserve">“Terrazas </w:t>
      </w:r>
      <w:r w:rsidR="004267E4">
        <w:rPr>
          <w:szCs w:val="28"/>
          <w:lang w:val="es-ES"/>
        </w:rPr>
        <w:t>Nos 9 y 10</w:t>
      </w:r>
      <w:r w:rsidR="009663DA">
        <w:rPr>
          <w:szCs w:val="28"/>
          <w:lang w:val="es-ES"/>
        </w:rPr>
        <w:t>”</w:t>
      </w:r>
      <w:r w:rsidR="004267E4">
        <w:rPr>
          <w:szCs w:val="28"/>
          <w:lang w:val="es-ES"/>
        </w:rPr>
        <w:t xml:space="preserve"> de matrícula 070-104106 de la oficina de registro instrumentos públicos de Tunja. Por esta vía infiere el Tribunal que quedan excluidos de esta pretensión por virtud de la prescripción de la acción los demandados Mejía Parra </w:t>
      </w:r>
      <w:r w:rsidR="003E1CE4">
        <w:rPr>
          <w:szCs w:val="28"/>
          <w:lang w:val="es-ES"/>
        </w:rPr>
        <w:t>Otero y Cía</w:t>
      </w:r>
      <w:r w:rsidR="004267E4">
        <w:rPr>
          <w:szCs w:val="28"/>
          <w:lang w:val="es-ES"/>
        </w:rPr>
        <w:t xml:space="preserve"> S. en C., Mario Mejía Otero, María Fernanda Mejía Parra, Jorge Mario Mejía Parra, Miguel Antonio Mejía Borrero, </w:t>
      </w:r>
      <w:r w:rsidR="003E1CE4">
        <w:rPr>
          <w:szCs w:val="28"/>
          <w:lang w:val="es-ES"/>
        </w:rPr>
        <w:t>Graciela</w:t>
      </w:r>
      <w:r w:rsidR="004267E4">
        <w:rPr>
          <w:szCs w:val="28"/>
          <w:lang w:val="es-ES"/>
        </w:rPr>
        <w:t xml:space="preserve"> Parra de Mejía, </w:t>
      </w:r>
      <w:r w:rsidR="003E1CE4">
        <w:rPr>
          <w:szCs w:val="28"/>
          <w:lang w:val="es-ES"/>
        </w:rPr>
        <w:t xml:space="preserve">Suramericana </w:t>
      </w:r>
      <w:r w:rsidR="004267E4">
        <w:rPr>
          <w:szCs w:val="28"/>
          <w:lang w:val="es-ES"/>
        </w:rPr>
        <w:t xml:space="preserve">de </w:t>
      </w:r>
      <w:r w:rsidR="003E1CE4">
        <w:rPr>
          <w:szCs w:val="28"/>
          <w:lang w:val="es-ES"/>
        </w:rPr>
        <w:t xml:space="preserve">Transportes </w:t>
      </w:r>
      <w:r w:rsidR="004267E4">
        <w:rPr>
          <w:szCs w:val="28"/>
          <w:lang w:val="es-ES"/>
        </w:rPr>
        <w:t xml:space="preserve">S.A. y Jacqueline </w:t>
      </w:r>
      <w:r w:rsidR="003E1CE4">
        <w:rPr>
          <w:szCs w:val="28"/>
          <w:lang w:val="es-ES"/>
        </w:rPr>
        <w:t xml:space="preserve">Borrero </w:t>
      </w:r>
      <w:r w:rsidR="004267E4">
        <w:rPr>
          <w:szCs w:val="28"/>
          <w:lang w:val="es-ES"/>
        </w:rPr>
        <w:t>Martelo</w:t>
      </w:r>
      <w:r w:rsidR="003E1CE4">
        <w:rPr>
          <w:szCs w:val="28"/>
          <w:lang w:val="es-ES"/>
        </w:rPr>
        <w:t>.</w:t>
      </w:r>
    </w:p>
    <w:p w:rsidR="003E1CE4" w:rsidRDefault="003E1CE4" w:rsidP="00193FAE">
      <w:pPr>
        <w:ind w:firstLine="709"/>
        <w:rPr>
          <w:szCs w:val="28"/>
          <w:lang w:val="es-ES"/>
        </w:rPr>
      </w:pPr>
    </w:p>
    <w:p w:rsidR="003E1CE4" w:rsidRDefault="009663DA" w:rsidP="00193FAE">
      <w:pPr>
        <w:ind w:firstLine="709"/>
        <w:rPr>
          <w:szCs w:val="28"/>
          <w:lang w:val="es-ES"/>
        </w:rPr>
      </w:pPr>
      <w:r>
        <w:rPr>
          <w:szCs w:val="28"/>
          <w:lang w:val="es-ES"/>
        </w:rPr>
        <w:t>i.</w:t>
      </w:r>
      <w:r>
        <w:rPr>
          <w:szCs w:val="28"/>
          <w:lang w:val="es-ES"/>
        </w:rPr>
        <w:tab/>
        <w:t xml:space="preserve">Con la </w:t>
      </w:r>
      <w:r w:rsidRPr="009663DA">
        <w:rPr>
          <w:szCs w:val="28"/>
          <w:u w:val="single"/>
          <w:lang w:val="es-ES"/>
        </w:rPr>
        <w:t>noven</w:t>
      </w:r>
      <w:r w:rsidR="003E1CE4" w:rsidRPr="009663DA">
        <w:rPr>
          <w:szCs w:val="28"/>
          <w:u w:val="single"/>
          <w:lang w:val="es-ES"/>
        </w:rPr>
        <w:t>a pretensión</w:t>
      </w:r>
      <w:r w:rsidR="003E1CE4">
        <w:rPr>
          <w:szCs w:val="28"/>
          <w:lang w:val="es-ES"/>
        </w:rPr>
        <w:t xml:space="preserve"> </w:t>
      </w:r>
      <w:r w:rsidR="004E7B2F">
        <w:rPr>
          <w:szCs w:val="28"/>
          <w:lang w:val="es-ES"/>
        </w:rPr>
        <w:t>-</w:t>
      </w:r>
      <w:r w:rsidR="003E1CE4">
        <w:rPr>
          <w:szCs w:val="28"/>
          <w:lang w:val="es-ES"/>
        </w:rPr>
        <w:t>que persigue que se declare que al hacerse la liquidación de la sociedades de hecho y las legalmente constituidas, el socio Mario Mejía Otero así como las sociedades que fueron parte de dichas sociedades de hecho ya sea</w:t>
      </w:r>
      <w:r>
        <w:rPr>
          <w:szCs w:val="28"/>
          <w:lang w:val="es-ES"/>
        </w:rPr>
        <w:t xml:space="preserve"> directamente </w:t>
      </w:r>
      <w:r w:rsidR="003E1CE4">
        <w:rPr>
          <w:szCs w:val="28"/>
          <w:lang w:val="es-ES"/>
        </w:rPr>
        <w:t>o a través de terceras personas vinculadas se apropiaron indebidamente sin que existi</w:t>
      </w:r>
      <w:r w:rsidR="004E7B2F">
        <w:rPr>
          <w:szCs w:val="28"/>
          <w:lang w:val="es-ES"/>
        </w:rPr>
        <w:t xml:space="preserve">era justo título ni causa legal- </w:t>
      </w:r>
      <w:r w:rsidR="003E1CE4">
        <w:rPr>
          <w:szCs w:val="28"/>
          <w:lang w:val="es-ES"/>
        </w:rPr>
        <w:t>estima el Tribunal que queda limitada a la persona natural Mario Mejía Otero y la sociedad Reusar Ltda., al estar prescrita la acción hacia los demás demandados según lo precedentemente indicado.</w:t>
      </w:r>
    </w:p>
    <w:p w:rsidR="003E1CE4" w:rsidRDefault="003E1CE4" w:rsidP="00193FAE">
      <w:pPr>
        <w:ind w:firstLine="709"/>
        <w:rPr>
          <w:szCs w:val="28"/>
          <w:lang w:val="es-ES"/>
        </w:rPr>
      </w:pPr>
    </w:p>
    <w:p w:rsidR="003034AE" w:rsidRDefault="003E1CE4" w:rsidP="00193FAE">
      <w:pPr>
        <w:ind w:firstLine="709"/>
        <w:rPr>
          <w:szCs w:val="28"/>
          <w:lang w:val="es-ES"/>
        </w:rPr>
      </w:pPr>
      <w:r>
        <w:rPr>
          <w:szCs w:val="28"/>
          <w:lang w:val="es-ES"/>
        </w:rPr>
        <w:t>j.</w:t>
      </w:r>
      <w:r>
        <w:rPr>
          <w:szCs w:val="28"/>
          <w:lang w:val="es-ES"/>
        </w:rPr>
        <w:tab/>
        <w:t xml:space="preserve">Sobre la </w:t>
      </w:r>
      <w:r w:rsidR="009663DA" w:rsidRPr="009663DA">
        <w:rPr>
          <w:szCs w:val="28"/>
          <w:u w:val="single"/>
          <w:lang w:val="es-ES"/>
        </w:rPr>
        <w:t>décima</w:t>
      </w:r>
      <w:r w:rsidRPr="009663DA">
        <w:rPr>
          <w:szCs w:val="28"/>
          <w:u w:val="single"/>
          <w:lang w:val="es-ES"/>
        </w:rPr>
        <w:t xml:space="preserve"> pretensión</w:t>
      </w:r>
      <w:r w:rsidR="003034AE">
        <w:rPr>
          <w:szCs w:val="28"/>
          <w:lang w:val="es-ES"/>
        </w:rPr>
        <w:t xml:space="preserve">, dice el </w:t>
      </w:r>
      <w:r w:rsidR="009663DA">
        <w:rPr>
          <w:szCs w:val="28"/>
          <w:lang w:val="es-ES"/>
        </w:rPr>
        <w:t xml:space="preserve">juzgador de segunda instancia </w:t>
      </w:r>
      <w:r w:rsidR="003034AE">
        <w:rPr>
          <w:szCs w:val="28"/>
          <w:lang w:val="es-ES"/>
        </w:rPr>
        <w:t xml:space="preserve">que por las mismas razones </w:t>
      </w:r>
      <w:r w:rsidR="0095754B">
        <w:rPr>
          <w:szCs w:val="28"/>
          <w:lang w:val="es-ES"/>
        </w:rPr>
        <w:t xml:space="preserve">la </w:t>
      </w:r>
      <w:r w:rsidR="003034AE">
        <w:rPr>
          <w:szCs w:val="28"/>
          <w:lang w:val="es-ES"/>
        </w:rPr>
        <w:t>encuentra prescrita. Recuerda que en esta pretensión</w:t>
      </w:r>
      <w:r>
        <w:rPr>
          <w:szCs w:val="28"/>
          <w:lang w:val="es-ES"/>
        </w:rPr>
        <w:t xml:space="preserve"> se persigue que los</w:t>
      </w:r>
      <w:r w:rsidR="003034AE">
        <w:rPr>
          <w:szCs w:val="28"/>
          <w:lang w:val="es-ES"/>
        </w:rPr>
        <w:t xml:space="preserve"> bienes identificados en la pretensión anterior, dado el origen de los recursos, son de propiedad de Luis Fernando Mejía Otero en un 50</w:t>
      </w:r>
      <w:r w:rsidR="0095754B">
        <w:rPr>
          <w:szCs w:val="28"/>
          <w:lang w:val="es-ES"/>
        </w:rPr>
        <w:t>%</w:t>
      </w:r>
      <w:r w:rsidR="003034AE">
        <w:rPr>
          <w:szCs w:val="28"/>
          <w:lang w:val="es-ES"/>
        </w:rPr>
        <w:t xml:space="preserve"> respecto de los adquiridos con recursos de la sociedad de hecho en que fue parte; que los adquiridos con recursos de Reusar Ltda. son de esta sociedad única y exclusivamente; </w:t>
      </w:r>
      <w:r w:rsidR="0095754B">
        <w:rPr>
          <w:szCs w:val="28"/>
          <w:lang w:val="es-ES"/>
        </w:rPr>
        <w:t xml:space="preserve">y </w:t>
      </w:r>
      <w:r w:rsidR="003034AE">
        <w:rPr>
          <w:szCs w:val="28"/>
          <w:lang w:val="es-ES"/>
        </w:rPr>
        <w:t xml:space="preserve">que los adquiridos con recursos de la sociedad </w:t>
      </w:r>
      <w:r w:rsidR="0095754B">
        <w:rPr>
          <w:szCs w:val="28"/>
          <w:lang w:val="es-ES"/>
        </w:rPr>
        <w:t xml:space="preserve">Envacar </w:t>
      </w:r>
      <w:r w:rsidR="003034AE">
        <w:rPr>
          <w:szCs w:val="28"/>
          <w:lang w:val="es-ES"/>
        </w:rPr>
        <w:t>Ltda. son de propiedad de quienes eran sus socios (Luis Fernando y Mario Mejía Otero en partes iguales).</w:t>
      </w:r>
    </w:p>
    <w:p w:rsidR="003034AE" w:rsidRDefault="003034AE" w:rsidP="00193FAE">
      <w:pPr>
        <w:ind w:firstLine="709"/>
        <w:rPr>
          <w:szCs w:val="28"/>
          <w:lang w:val="es-ES"/>
        </w:rPr>
      </w:pPr>
    </w:p>
    <w:p w:rsidR="003E1CE4" w:rsidRDefault="002D5040" w:rsidP="00193FAE">
      <w:pPr>
        <w:ind w:firstLine="709"/>
        <w:rPr>
          <w:szCs w:val="28"/>
          <w:lang w:val="es-ES"/>
        </w:rPr>
      </w:pPr>
      <w:r>
        <w:rPr>
          <w:szCs w:val="28"/>
          <w:lang w:val="es-ES"/>
        </w:rPr>
        <w:t>La prescripción extintiva que predica deviene del hecho de que la</w:t>
      </w:r>
      <w:r w:rsidR="0095754B">
        <w:rPr>
          <w:szCs w:val="28"/>
          <w:lang w:val="es-ES"/>
        </w:rPr>
        <w:t>s</w:t>
      </w:r>
      <w:r>
        <w:rPr>
          <w:szCs w:val="28"/>
          <w:lang w:val="es-ES"/>
        </w:rPr>
        <w:t xml:space="preserve"> sociedades de hecho fueron liquidadas en el año 1994 por lo que, según el artículo 256 del </w:t>
      </w:r>
      <w:r w:rsidR="004E7B2F">
        <w:rPr>
          <w:szCs w:val="28"/>
          <w:lang w:val="es-ES"/>
        </w:rPr>
        <w:t xml:space="preserve">Código </w:t>
      </w:r>
      <w:r>
        <w:rPr>
          <w:szCs w:val="28"/>
          <w:lang w:val="es-ES"/>
        </w:rPr>
        <w:t xml:space="preserve">de </w:t>
      </w:r>
      <w:r w:rsidR="004E7B2F">
        <w:rPr>
          <w:szCs w:val="28"/>
          <w:lang w:val="es-ES"/>
        </w:rPr>
        <w:t>Comercio</w:t>
      </w:r>
      <w:r>
        <w:rPr>
          <w:szCs w:val="28"/>
          <w:lang w:val="es-ES"/>
        </w:rPr>
        <w:t>, los cinco años que allí se prevén se encuentran más que transcurridos. Pero, agrega dicha pretensión no ampara a Mario Mejía Otero ni a la sociedad Reusar Ltda. que no se encuentra disuelta.</w:t>
      </w:r>
    </w:p>
    <w:p w:rsidR="002D5040" w:rsidRDefault="002D5040" w:rsidP="00193FAE">
      <w:pPr>
        <w:ind w:firstLine="709"/>
        <w:rPr>
          <w:szCs w:val="28"/>
          <w:lang w:val="es-ES"/>
        </w:rPr>
      </w:pPr>
    </w:p>
    <w:p w:rsidR="002D5040" w:rsidRDefault="002D5040" w:rsidP="00193FAE">
      <w:pPr>
        <w:ind w:firstLine="709"/>
        <w:rPr>
          <w:szCs w:val="28"/>
          <w:lang w:val="es-ES"/>
        </w:rPr>
      </w:pPr>
      <w:r>
        <w:rPr>
          <w:szCs w:val="28"/>
          <w:lang w:val="es-ES"/>
        </w:rPr>
        <w:t>k.</w:t>
      </w:r>
      <w:r>
        <w:rPr>
          <w:szCs w:val="28"/>
          <w:lang w:val="es-ES"/>
        </w:rPr>
        <w:tab/>
        <w:t xml:space="preserve">La </w:t>
      </w:r>
      <w:r w:rsidR="0095754B" w:rsidRPr="0095754B">
        <w:rPr>
          <w:szCs w:val="28"/>
          <w:u w:val="single"/>
          <w:lang w:val="es-ES"/>
        </w:rPr>
        <w:t>undécima</w:t>
      </w:r>
      <w:r w:rsidRPr="0095754B">
        <w:rPr>
          <w:szCs w:val="28"/>
          <w:u w:val="single"/>
          <w:lang w:val="es-ES"/>
        </w:rPr>
        <w:t xml:space="preserve"> pretensión</w:t>
      </w:r>
      <w:r>
        <w:rPr>
          <w:szCs w:val="28"/>
          <w:lang w:val="es-ES"/>
        </w:rPr>
        <w:t xml:space="preserve"> que persigue la nulidad de la transferencia del dominio de los bienes inmuebles enunciados, infiere el </w:t>
      </w:r>
      <w:r w:rsidRPr="0095754B">
        <w:rPr>
          <w:i/>
          <w:szCs w:val="28"/>
          <w:lang w:val="es-ES"/>
        </w:rPr>
        <w:t>ad quem</w:t>
      </w:r>
      <w:r w:rsidR="004E7B2F">
        <w:rPr>
          <w:szCs w:val="28"/>
          <w:lang w:val="es-ES"/>
        </w:rPr>
        <w:t xml:space="preserve"> que </w:t>
      </w:r>
      <w:r>
        <w:rPr>
          <w:szCs w:val="28"/>
          <w:lang w:val="es-ES"/>
        </w:rPr>
        <w:t xml:space="preserve">conforme al análisis efectuado con antelación, la prescripción de la acción se cierne sobre la sociedades de hecho que asevera, existieron entre Luis Fernando Mejía Otero y Recolta Ltda., así como la de Luis Fernando Mejía Otero y Tamer Ltda.. Lo anterior por haber ocurrido su liquidación en 1994. En consecuencia, </w:t>
      </w:r>
      <w:r w:rsidR="0095754B">
        <w:rPr>
          <w:szCs w:val="28"/>
          <w:lang w:val="es-ES"/>
        </w:rPr>
        <w:t xml:space="preserve">se </w:t>
      </w:r>
      <w:r>
        <w:rPr>
          <w:szCs w:val="28"/>
          <w:lang w:val="es-ES"/>
        </w:rPr>
        <w:t>ampara con la prescripción la</w:t>
      </w:r>
      <w:r w:rsidR="0095754B">
        <w:rPr>
          <w:szCs w:val="28"/>
          <w:lang w:val="es-ES"/>
        </w:rPr>
        <w:t>s</w:t>
      </w:r>
      <w:r>
        <w:rPr>
          <w:szCs w:val="28"/>
          <w:lang w:val="es-ES"/>
        </w:rPr>
        <w:t xml:space="preserve"> sociedades </w:t>
      </w:r>
      <w:r w:rsidR="00F044DB">
        <w:rPr>
          <w:szCs w:val="28"/>
          <w:lang w:val="es-ES"/>
        </w:rPr>
        <w:t xml:space="preserve">Rena Ltda., Reciclar Ltda., Renco Ltda., Envacar Ltda., Mejía Parra Otero y Cía. S. en C., </w:t>
      </w:r>
      <w:r w:rsidR="0095754B">
        <w:rPr>
          <w:szCs w:val="28"/>
          <w:lang w:val="es-ES"/>
        </w:rPr>
        <w:t xml:space="preserve">Suramericana </w:t>
      </w:r>
      <w:r w:rsidR="00F044DB">
        <w:rPr>
          <w:szCs w:val="28"/>
          <w:lang w:val="es-ES"/>
        </w:rPr>
        <w:t xml:space="preserve">de </w:t>
      </w:r>
      <w:r w:rsidR="0095754B">
        <w:rPr>
          <w:szCs w:val="28"/>
          <w:lang w:val="es-ES"/>
        </w:rPr>
        <w:t xml:space="preserve">Transportes </w:t>
      </w:r>
      <w:r w:rsidR="00F044DB">
        <w:rPr>
          <w:szCs w:val="28"/>
          <w:lang w:val="es-ES"/>
        </w:rPr>
        <w:t xml:space="preserve">S.A. y las personas naturales María Fernanda Mejía Parra, Jorge Mario Mejía Parra, Miguel Antonio Mejía Borrero, Graciela Parra de Mejía y Jacqueline Borrero Martelo. Pero, como antes dijo, esa prescripción no cobija a </w:t>
      </w:r>
      <w:r w:rsidR="003B7090">
        <w:rPr>
          <w:szCs w:val="28"/>
          <w:lang w:val="es-ES"/>
        </w:rPr>
        <w:t xml:space="preserve">Reusar </w:t>
      </w:r>
      <w:r w:rsidR="00F044DB">
        <w:rPr>
          <w:szCs w:val="28"/>
          <w:lang w:val="es-ES"/>
        </w:rPr>
        <w:t xml:space="preserve">Ltda. por estar vigente, por lo que esta pretensión queda en pie hacia Mario Mejía Otero, </w:t>
      </w:r>
      <w:r w:rsidR="003B7090">
        <w:rPr>
          <w:szCs w:val="28"/>
          <w:lang w:val="es-ES"/>
        </w:rPr>
        <w:t xml:space="preserve">Reusar </w:t>
      </w:r>
      <w:r w:rsidR="00F044DB">
        <w:rPr>
          <w:szCs w:val="28"/>
          <w:lang w:val="es-ES"/>
        </w:rPr>
        <w:t xml:space="preserve">Ltda. y </w:t>
      </w:r>
      <w:r w:rsidR="000B122E">
        <w:rPr>
          <w:szCs w:val="28"/>
          <w:lang w:val="es-ES"/>
        </w:rPr>
        <w:t xml:space="preserve">Colempaques </w:t>
      </w:r>
      <w:r w:rsidR="00F044DB">
        <w:rPr>
          <w:szCs w:val="28"/>
          <w:lang w:val="es-ES"/>
        </w:rPr>
        <w:t>S.A.S.</w:t>
      </w:r>
    </w:p>
    <w:p w:rsidR="002D5040" w:rsidRDefault="002D5040" w:rsidP="00193FAE">
      <w:pPr>
        <w:ind w:firstLine="709"/>
        <w:rPr>
          <w:szCs w:val="28"/>
          <w:lang w:val="es-ES"/>
        </w:rPr>
      </w:pPr>
    </w:p>
    <w:p w:rsidR="002D5040" w:rsidRDefault="002D5040" w:rsidP="00193FAE">
      <w:pPr>
        <w:ind w:firstLine="709"/>
        <w:rPr>
          <w:szCs w:val="28"/>
          <w:lang w:val="es-ES"/>
        </w:rPr>
      </w:pPr>
      <w:r>
        <w:rPr>
          <w:szCs w:val="28"/>
          <w:lang w:val="es-ES"/>
        </w:rPr>
        <w:t>l.</w:t>
      </w:r>
      <w:r>
        <w:rPr>
          <w:szCs w:val="28"/>
          <w:lang w:val="es-ES"/>
        </w:rPr>
        <w:tab/>
      </w:r>
      <w:r w:rsidR="00F044DB">
        <w:rPr>
          <w:szCs w:val="28"/>
          <w:lang w:val="es-ES"/>
        </w:rPr>
        <w:t xml:space="preserve">Manifiesta el Tribunal que las </w:t>
      </w:r>
      <w:r w:rsidR="00F044DB" w:rsidRPr="003B7090">
        <w:rPr>
          <w:szCs w:val="28"/>
          <w:u w:val="single"/>
          <w:lang w:val="es-ES"/>
        </w:rPr>
        <w:t xml:space="preserve">pretensiones </w:t>
      </w:r>
      <w:r w:rsidR="003B7090" w:rsidRPr="003B7090">
        <w:rPr>
          <w:szCs w:val="28"/>
          <w:u w:val="single"/>
          <w:lang w:val="es-ES"/>
        </w:rPr>
        <w:t xml:space="preserve">duodécima </w:t>
      </w:r>
      <w:r w:rsidR="00F044DB" w:rsidRPr="003B7090">
        <w:rPr>
          <w:szCs w:val="28"/>
          <w:u w:val="single"/>
          <w:lang w:val="es-ES"/>
        </w:rPr>
        <w:t xml:space="preserve">a </w:t>
      </w:r>
      <w:r w:rsidR="003B7090" w:rsidRPr="003B7090">
        <w:rPr>
          <w:szCs w:val="28"/>
          <w:u w:val="single"/>
          <w:lang w:val="es-ES"/>
        </w:rPr>
        <w:t>decimoséptima</w:t>
      </w:r>
      <w:r w:rsidR="003B7090">
        <w:rPr>
          <w:szCs w:val="28"/>
          <w:lang w:val="es-ES"/>
        </w:rPr>
        <w:t xml:space="preserve">  </w:t>
      </w:r>
      <w:r w:rsidR="00F044DB">
        <w:rPr>
          <w:szCs w:val="28"/>
          <w:lang w:val="es-ES"/>
        </w:rPr>
        <w:t>se encuentran también prescritas</w:t>
      </w:r>
      <w:r w:rsidR="004E7B2F">
        <w:rPr>
          <w:szCs w:val="28"/>
          <w:lang w:val="es-ES"/>
        </w:rPr>
        <w:t xml:space="preserve"> para la pasiva</w:t>
      </w:r>
      <w:r w:rsidR="00F044DB">
        <w:rPr>
          <w:szCs w:val="28"/>
          <w:lang w:val="es-ES"/>
        </w:rPr>
        <w:t xml:space="preserve">, con excepción de </w:t>
      </w:r>
      <w:r w:rsidR="003B7090">
        <w:rPr>
          <w:szCs w:val="28"/>
          <w:lang w:val="es-ES"/>
        </w:rPr>
        <w:t xml:space="preserve">Reusar </w:t>
      </w:r>
      <w:r w:rsidR="00F044DB">
        <w:rPr>
          <w:szCs w:val="28"/>
          <w:lang w:val="es-ES"/>
        </w:rPr>
        <w:t>Ltda. y la persona natural Mario Mejía Otero, por</w:t>
      </w:r>
      <w:r w:rsidR="000B122E">
        <w:rPr>
          <w:szCs w:val="28"/>
          <w:lang w:val="es-ES"/>
        </w:rPr>
        <w:t xml:space="preserve"> aplicación de los mismos argumentos antes esgrimidos.</w:t>
      </w:r>
    </w:p>
    <w:p w:rsidR="000B122E" w:rsidRDefault="000B122E" w:rsidP="00193FAE">
      <w:pPr>
        <w:ind w:firstLine="709"/>
        <w:rPr>
          <w:szCs w:val="28"/>
          <w:lang w:val="es-ES"/>
        </w:rPr>
      </w:pPr>
    </w:p>
    <w:p w:rsidR="000B122E" w:rsidRDefault="000B122E" w:rsidP="00193FAE">
      <w:pPr>
        <w:ind w:firstLine="709"/>
        <w:rPr>
          <w:szCs w:val="28"/>
          <w:lang w:val="es-ES"/>
        </w:rPr>
      </w:pPr>
      <w:r>
        <w:rPr>
          <w:szCs w:val="28"/>
          <w:lang w:val="es-ES"/>
        </w:rPr>
        <w:t>m.</w:t>
      </w:r>
      <w:r>
        <w:rPr>
          <w:szCs w:val="28"/>
          <w:lang w:val="es-ES"/>
        </w:rPr>
        <w:tab/>
        <w:t xml:space="preserve">No queda cobijada con la prescripción y por consiguiente se mantiene la </w:t>
      </w:r>
      <w:r w:rsidRPr="003B7090">
        <w:rPr>
          <w:szCs w:val="28"/>
          <w:u w:val="single"/>
          <w:lang w:val="es-ES"/>
        </w:rPr>
        <w:t xml:space="preserve">pretensión </w:t>
      </w:r>
      <w:r w:rsidR="003B7090" w:rsidRPr="003B7090">
        <w:rPr>
          <w:szCs w:val="28"/>
          <w:u w:val="single"/>
          <w:lang w:val="es-ES"/>
        </w:rPr>
        <w:t>decimoctava</w:t>
      </w:r>
      <w:r>
        <w:rPr>
          <w:szCs w:val="28"/>
          <w:lang w:val="es-ES"/>
        </w:rPr>
        <w:t xml:space="preserve">, que apunta a que se declare que </w:t>
      </w:r>
      <w:r w:rsidR="003B7090">
        <w:rPr>
          <w:szCs w:val="28"/>
          <w:lang w:val="es-ES"/>
        </w:rPr>
        <w:t>Luis</w:t>
      </w:r>
      <w:r>
        <w:rPr>
          <w:szCs w:val="28"/>
          <w:lang w:val="es-ES"/>
        </w:rPr>
        <w:t xml:space="preserve"> Fern</w:t>
      </w:r>
      <w:r w:rsidR="003B7090">
        <w:rPr>
          <w:szCs w:val="28"/>
          <w:lang w:val="es-ES"/>
        </w:rPr>
        <w:t>ando Mejía Otero tiene derecho a</w:t>
      </w:r>
      <w:r>
        <w:rPr>
          <w:szCs w:val="28"/>
          <w:lang w:val="es-ES"/>
        </w:rPr>
        <w:t>l 50</w:t>
      </w:r>
      <w:r w:rsidR="003B7090">
        <w:rPr>
          <w:szCs w:val="28"/>
          <w:lang w:val="es-ES"/>
        </w:rPr>
        <w:t>%</w:t>
      </w:r>
      <w:r>
        <w:rPr>
          <w:szCs w:val="28"/>
          <w:lang w:val="es-ES"/>
        </w:rPr>
        <w:t xml:space="preserve"> de las acciones y de los activos de </w:t>
      </w:r>
      <w:r w:rsidR="004E7B2F">
        <w:rPr>
          <w:szCs w:val="28"/>
          <w:lang w:val="es-ES"/>
        </w:rPr>
        <w:t>la sociedad Colempaques S.A.S. p</w:t>
      </w:r>
      <w:r>
        <w:rPr>
          <w:szCs w:val="28"/>
          <w:lang w:val="es-ES"/>
        </w:rPr>
        <w:t>or cuanto esta compañía no ha sido liquidada.</w:t>
      </w:r>
    </w:p>
    <w:p w:rsidR="000B122E" w:rsidRDefault="000B122E" w:rsidP="00193FAE">
      <w:pPr>
        <w:ind w:firstLine="709"/>
        <w:rPr>
          <w:szCs w:val="28"/>
          <w:lang w:val="es-ES"/>
        </w:rPr>
      </w:pPr>
    </w:p>
    <w:p w:rsidR="000B122E" w:rsidRDefault="003B7090" w:rsidP="00193FAE">
      <w:pPr>
        <w:ind w:firstLine="709"/>
        <w:rPr>
          <w:szCs w:val="28"/>
          <w:lang w:val="es-ES"/>
        </w:rPr>
      </w:pPr>
      <w:r>
        <w:rPr>
          <w:szCs w:val="28"/>
          <w:lang w:val="es-ES"/>
        </w:rPr>
        <w:t xml:space="preserve">En referencia a la excepción previa de prescripción de la acción planteada por </w:t>
      </w:r>
      <w:r w:rsidR="00D25E97">
        <w:rPr>
          <w:szCs w:val="28"/>
          <w:lang w:val="es-ES"/>
        </w:rPr>
        <w:t xml:space="preserve">Suramericana </w:t>
      </w:r>
      <w:r>
        <w:rPr>
          <w:szCs w:val="28"/>
          <w:lang w:val="es-ES"/>
        </w:rPr>
        <w:t xml:space="preserve">de </w:t>
      </w:r>
      <w:r w:rsidR="00D25E97">
        <w:rPr>
          <w:szCs w:val="28"/>
          <w:lang w:val="es-ES"/>
        </w:rPr>
        <w:t xml:space="preserve">Transportes, estima que no es del caso analizarla porque </w:t>
      </w:r>
      <w:r w:rsidR="00447782">
        <w:rPr>
          <w:szCs w:val="28"/>
          <w:lang w:val="es-ES"/>
        </w:rPr>
        <w:t xml:space="preserve">la adquisición del </w:t>
      </w:r>
      <w:r w:rsidR="00D25E97">
        <w:rPr>
          <w:szCs w:val="28"/>
          <w:lang w:val="es-ES"/>
        </w:rPr>
        <w:t xml:space="preserve"> inmueble </w:t>
      </w:r>
      <w:r w:rsidR="00447782">
        <w:rPr>
          <w:szCs w:val="28"/>
          <w:lang w:val="es-ES"/>
        </w:rPr>
        <w:t>que la vincula a este caso</w:t>
      </w:r>
      <w:r w:rsidR="00D25E97">
        <w:rPr>
          <w:szCs w:val="28"/>
          <w:lang w:val="es-ES"/>
        </w:rPr>
        <w:t>, de matrícula inmobiliaria 060-21322</w:t>
      </w:r>
      <w:r w:rsidR="00447782">
        <w:rPr>
          <w:szCs w:val="28"/>
          <w:lang w:val="es-ES"/>
        </w:rPr>
        <w:t>,</w:t>
      </w:r>
      <w:r w:rsidR="00D25E97">
        <w:rPr>
          <w:szCs w:val="28"/>
          <w:lang w:val="es-ES"/>
        </w:rPr>
        <w:t xml:space="preserve"> se remonta</w:t>
      </w:r>
      <w:r w:rsidR="00447782">
        <w:rPr>
          <w:szCs w:val="28"/>
          <w:lang w:val="es-ES"/>
        </w:rPr>
        <w:t xml:space="preserve"> a cuando lo obtuvo la </w:t>
      </w:r>
      <w:r w:rsidR="00D25E97">
        <w:rPr>
          <w:szCs w:val="28"/>
          <w:lang w:val="es-ES"/>
        </w:rPr>
        <w:t xml:space="preserve">sociedad de hecho que se dijo fue conformada entre Luis Fernando Mejía Otero y la sociedad Tamer Ltda. (pretensión octava) en donde prosperó la excepción de prescripción de la acción al haberse liquidado </w:t>
      </w:r>
      <w:r w:rsidR="00447782">
        <w:rPr>
          <w:szCs w:val="28"/>
          <w:lang w:val="es-ES"/>
        </w:rPr>
        <w:t>en 1994</w:t>
      </w:r>
      <w:r w:rsidR="00D25E97">
        <w:rPr>
          <w:szCs w:val="28"/>
          <w:lang w:val="es-ES"/>
        </w:rPr>
        <w:t xml:space="preserve">, según lo declaró el actor en los hechos 10º y 12º del escrito genitor. </w:t>
      </w:r>
    </w:p>
    <w:p w:rsidR="00447782" w:rsidRDefault="00447782" w:rsidP="00193FAE">
      <w:pPr>
        <w:ind w:firstLine="709"/>
        <w:rPr>
          <w:szCs w:val="28"/>
          <w:lang w:val="es-ES"/>
        </w:rPr>
      </w:pPr>
    </w:p>
    <w:p w:rsidR="00447782" w:rsidRDefault="004F3E97" w:rsidP="00193FAE">
      <w:pPr>
        <w:ind w:firstLine="709"/>
        <w:rPr>
          <w:szCs w:val="28"/>
          <w:lang w:val="es-ES"/>
        </w:rPr>
      </w:pPr>
      <w:r>
        <w:rPr>
          <w:szCs w:val="28"/>
          <w:lang w:val="es-ES"/>
        </w:rPr>
        <w:t>2.</w:t>
      </w:r>
      <w:r>
        <w:rPr>
          <w:szCs w:val="28"/>
          <w:lang w:val="es-ES"/>
        </w:rPr>
        <w:tab/>
      </w:r>
      <w:r w:rsidR="00447782">
        <w:rPr>
          <w:szCs w:val="28"/>
          <w:lang w:val="es-ES"/>
        </w:rPr>
        <w:t>Como consecuencia de lo anterior, y al pervivir el proceso en relación con Mario Mejía Otero, Reusar Ltda. y Colempaques S.A.S, se aplica el Tribunal a examinar las restantes excepciones previas, de este modo:</w:t>
      </w:r>
    </w:p>
    <w:p w:rsidR="00447782" w:rsidRDefault="00447782" w:rsidP="00193FAE">
      <w:pPr>
        <w:ind w:firstLine="709"/>
        <w:rPr>
          <w:szCs w:val="28"/>
          <w:lang w:val="es-ES"/>
        </w:rPr>
      </w:pPr>
    </w:p>
    <w:p w:rsidR="00447782" w:rsidRDefault="004F3E97" w:rsidP="00193FAE">
      <w:pPr>
        <w:ind w:firstLine="709"/>
        <w:rPr>
          <w:szCs w:val="28"/>
          <w:lang w:val="es-ES"/>
        </w:rPr>
      </w:pPr>
      <w:r>
        <w:rPr>
          <w:szCs w:val="28"/>
          <w:lang w:val="es-ES"/>
        </w:rPr>
        <w:t>a.</w:t>
      </w:r>
      <w:r>
        <w:rPr>
          <w:szCs w:val="28"/>
          <w:lang w:val="es-ES"/>
        </w:rPr>
        <w:tab/>
        <w:t xml:space="preserve">En cuanto hace a la excepción de prescripción </w:t>
      </w:r>
      <w:r w:rsidRPr="0030555E">
        <w:rPr>
          <w:i/>
          <w:szCs w:val="28"/>
          <w:lang w:val="es-ES"/>
        </w:rPr>
        <w:t>adquisitiva</w:t>
      </w:r>
      <w:r>
        <w:rPr>
          <w:szCs w:val="28"/>
          <w:lang w:val="es-ES"/>
        </w:rPr>
        <w:t xml:space="preserve"> de dominio y extintiva de los derechos de los demandantes, se detiene en el examen del artículo 97 del </w:t>
      </w:r>
      <w:r w:rsidR="0030555E">
        <w:rPr>
          <w:szCs w:val="28"/>
          <w:lang w:val="es-ES"/>
        </w:rPr>
        <w:t xml:space="preserve">Código </w:t>
      </w:r>
      <w:r>
        <w:rPr>
          <w:szCs w:val="28"/>
          <w:lang w:val="es-ES"/>
        </w:rPr>
        <w:t xml:space="preserve">de </w:t>
      </w:r>
      <w:r w:rsidR="0030555E">
        <w:rPr>
          <w:szCs w:val="28"/>
          <w:lang w:val="es-ES"/>
        </w:rPr>
        <w:t xml:space="preserve">Procedimiento Civil </w:t>
      </w:r>
      <w:r>
        <w:rPr>
          <w:szCs w:val="28"/>
          <w:lang w:val="es-ES"/>
        </w:rPr>
        <w:t xml:space="preserve">para indicar que allí sólo se contempla la prescripción </w:t>
      </w:r>
      <w:r w:rsidRPr="0030555E">
        <w:rPr>
          <w:i/>
          <w:szCs w:val="28"/>
          <w:lang w:val="es-ES"/>
        </w:rPr>
        <w:t>extintiva</w:t>
      </w:r>
      <w:r>
        <w:rPr>
          <w:szCs w:val="28"/>
          <w:lang w:val="es-ES"/>
        </w:rPr>
        <w:t xml:space="preserve"> por lo que la adquisitiva no puede ser reconocida, “</w:t>
      </w:r>
      <w:r w:rsidRPr="004F3E97">
        <w:rPr>
          <w:i/>
          <w:szCs w:val="28"/>
          <w:lang w:val="es-ES"/>
        </w:rPr>
        <w:t>menos aún cuando los fundamentos de hecho de la misma obligarían a discernir sobre la posesión y la buena fe de los demandados, que por su particular complejidad deben plantearse en la etapa probatoria del proceso</w:t>
      </w:r>
      <w:r>
        <w:rPr>
          <w:szCs w:val="28"/>
          <w:lang w:val="es-ES"/>
        </w:rPr>
        <w:t>” (f. 45, c. 5)</w:t>
      </w:r>
    </w:p>
    <w:p w:rsidR="004F3E97" w:rsidRDefault="004F3E97" w:rsidP="00193FAE">
      <w:pPr>
        <w:ind w:firstLine="709"/>
        <w:rPr>
          <w:szCs w:val="28"/>
          <w:lang w:val="es-ES"/>
        </w:rPr>
      </w:pPr>
    </w:p>
    <w:p w:rsidR="004F3E97" w:rsidRDefault="004F3E97" w:rsidP="00193FAE">
      <w:pPr>
        <w:ind w:firstLine="709"/>
        <w:rPr>
          <w:szCs w:val="28"/>
          <w:lang w:val="es-ES"/>
        </w:rPr>
      </w:pPr>
      <w:r>
        <w:rPr>
          <w:szCs w:val="28"/>
          <w:lang w:val="es-ES"/>
        </w:rPr>
        <w:t>b.</w:t>
      </w:r>
      <w:r>
        <w:rPr>
          <w:szCs w:val="28"/>
          <w:lang w:val="es-ES"/>
        </w:rPr>
        <w:tab/>
      </w:r>
      <w:r w:rsidR="00BF6D30">
        <w:rPr>
          <w:szCs w:val="28"/>
          <w:lang w:val="es-ES"/>
        </w:rPr>
        <w:t xml:space="preserve">Sobre la “falta de prueba de la calidad de socio” y “falta de prueba de la existencia de la sociedad de hecho” dice el Tribunal que están llamadas al fracaso por cuanto las pretensiones subsistentes apuntan precisamente a que se declare que existió una sociedad de hecho entre Mario Mejía y </w:t>
      </w:r>
      <w:r w:rsidR="0030555E">
        <w:rPr>
          <w:szCs w:val="28"/>
          <w:lang w:val="es-ES"/>
        </w:rPr>
        <w:t xml:space="preserve">Reusar </w:t>
      </w:r>
      <w:r w:rsidR="00BF6D30">
        <w:rPr>
          <w:szCs w:val="28"/>
          <w:lang w:val="es-ES"/>
        </w:rPr>
        <w:t>Ltda. y que dentro de ellas se obtuvieron los bienes que se mencionan y que tuvo participación en las legalmente constituidas</w:t>
      </w:r>
      <w:r w:rsidR="0030555E">
        <w:rPr>
          <w:szCs w:val="28"/>
          <w:lang w:val="es-ES"/>
        </w:rPr>
        <w:t>,</w:t>
      </w:r>
      <w:r w:rsidR="00BF6D30">
        <w:rPr>
          <w:szCs w:val="28"/>
          <w:lang w:val="es-ES"/>
        </w:rPr>
        <w:t xml:space="preserve"> quedándole la etapa probatoria para demostrar tal calidad.</w:t>
      </w:r>
    </w:p>
    <w:p w:rsidR="00BF6D30" w:rsidRDefault="00BF6D30" w:rsidP="00193FAE">
      <w:pPr>
        <w:ind w:firstLine="709"/>
        <w:rPr>
          <w:szCs w:val="28"/>
          <w:lang w:val="es-ES"/>
        </w:rPr>
      </w:pPr>
    </w:p>
    <w:p w:rsidR="00BF6D30" w:rsidRDefault="00BF6D30" w:rsidP="00193FAE">
      <w:pPr>
        <w:ind w:firstLine="709"/>
        <w:rPr>
          <w:szCs w:val="28"/>
          <w:lang w:val="es-ES"/>
        </w:rPr>
      </w:pPr>
      <w:r>
        <w:rPr>
          <w:szCs w:val="28"/>
          <w:lang w:val="es-ES"/>
        </w:rPr>
        <w:t>c.</w:t>
      </w:r>
      <w:r>
        <w:rPr>
          <w:szCs w:val="28"/>
          <w:lang w:val="es-ES"/>
        </w:rPr>
        <w:tab/>
        <w:t>Respecto del medio exceptivo “prescripción de los recursos de la sociedades Recolta Ltda., Reusar Ltda. y Tamer Ltda.”, recuerda la colegiatura que lo que se pretende es que se declare que con los recursos de esa</w:t>
      </w:r>
      <w:r w:rsidR="0030555E">
        <w:rPr>
          <w:szCs w:val="28"/>
          <w:lang w:val="es-ES"/>
        </w:rPr>
        <w:t>s</w:t>
      </w:r>
      <w:r>
        <w:rPr>
          <w:szCs w:val="28"/>
          <w:lang w:val="es-ES"/>
        </w:rPr>
        <w:t xml:space="preserve"> sociedades se adquirieron unos bienes</w:t>
      </w:r>
      <w:r w:rsidR="0020288A">
        <w:rPr>
          <w:szCs w:val="28"/>
          <w:lang w:val="es-ES"/>
        </w:rPr>
        <w:t xml:space="preserve"> y no que se declare sobre la existencia de sus recursos, “</w:t>
      </w:r>
      <w:r w:rsidR="0020288A" w:rsidRPr="0030555E">
        <w:rPr>
          <w:i/>
          <w:szCs w:val="28"/>
          <w:lang w:val="es-ES"/>
        </w:rPr>
        <w:t>siendo improcedente perseguir la prescripción de estos últimos</w:t>
      </w:r>
      <w:r w:rsidR="0020288A">
        <w:rPr>
          <w:szCs w:val="28"/>
          <w:lang w:val="es-ES"/>
        </w:rPr>
        <w:t>” (f. 46).</w:t>
      </w:r>
    </w:p>
    <w:p w:rsidR="0020288A" w:rsidRDefault="0020288A" w:rsidP="00193FAE">
      <w:pPr>
        <w:ind w:firstLine="709"/>
        <w:rPr>
          <w:szCs w:val="28"/>
          <w:lang w:val="es-ES"/>
        </w:rPr>
      </w:pPr>
    </w:p>
    <w:p w:rsidR="0020288A" w:rsidRDefault="0020288A" w:rsidP="00193FAE">
      <w:pPr>
        <w:ind w:firstLine="709"/>
        <w:rPr>
          <w:szCs w:val="28"/>
          <w:lang w:val="es-ES"/>
        </w:rPr>
      </w:pPr>
      <w:r>
        <w:rPr>
          <w:szCs w:val="28"/>
          <w:lang w:val="es-ES"/>
        </w:rPr>
        <w:t>En compendio del Tribunal, el proceso continúa con las pretensiones 3ª, 6ª, 9ª, 11ª, de la 12ª a la 17ª respecto de la sociedad Reusar Ltda. y de Mario Mejía Otero. Y la 18ª que cobija a Colempaques S.A.S así como la 19ª.</w:t>
      </w:r>
    </w:p>
    <w:p w:rsidR="0020288A" w:rsidRDefault="0020288A" w:rsidP="0020288A">
      <w:pPr>
        <w:rPr>
          <w:szCs w:val="28"/>
          <w:lang w:val="es-ES"/>
        </w:rPr>
      </w:pPr>
    </w:p>
    <w:p w:rsidR="005F6F42" w:rsidRPr="009F7E87" w:rsidRDefault="005F6F42" w:rsidP="00766169">
      <w:pPr>
        <w:pStyle w:val="Ttulo2"/>
      </w:pPr>
    </w:p>
    <w:p w:rsidR="00793D36" w:rsidRPr="008B23F6" w:rsidRDefault="008B23F6" w:rsidP="008B23F6">
      <w:pPr>
        <w:spacing w:after="120"/>
        <w:ind w:firstLine="709"/>
        <w:jc w:val="center"/>
        <w:rPr>
          <w:b/>
          <w:szCs w:val="28"/>
          <w:lang w:val="es-ES"/>
        </w:rPr>
      </w:pPr>
      <w:r w:rsidRPr="008B23F6">
        <w:rPr>
          <w:b/>
          <w:szCs w:val="28"/>
          <w:lang w:val="es-ES"/>
        </w:rPr>
        <w:t>LA DEMANDA DE CASACIÓN</w:t>
      </w:r>
    </w:p>
    <w:p w:rsidR="005A5E60" w:rsidRDefault="005A5E60" w:rsidP="005A5E60">
      <w:pPr>
        <w:autoSpaceDE w:val="0"/>
        <w:autoSpaceDN w:val="0"/>
        <w:ind w:firstLine="708"/>
        <w:rPr>
          <w:bCs/>
          <w:szCs w:val="28"/>
          <w:lang w:val="es-ES"/>
        </w:rPr>
      </w:pPr>
    </w:p>
    <w:p w:rsidR="00D959B2" w:rsidRDefault="00D959B2" w:rsidP="005A5E60">
      <w:pPr>
        <w:autoSpaceDE w:val="0"/>
        <w:autoSpaceDN w:val="0"/>
        <w:ind w:firstLine="708"/>
        <w:rPr>
          <w:bCs/>
          <w:szCs w:val="28"/>
          <w:lang w:val="es-ES"/>
        </w:rPr>
      </w:pPr>
      <w:r>
        <w:rPr>
          <w:bCs/>
          <w:szCs w:val="28"/>
          <w:lang w:val="es-ES"/>
        </w:rPr>
        <w:t>Con tres cargos ataca el recurrente la sentencia impugnada, todos por violación de normas sustanciales, los dos primeros</w:t>
      </w:r>
      <w:r w:rsidR="002D0D3B">
        <w:rPr>
          <w:bCs/>
          <w:szCs w:val="28"/>
          <w:lang w:val="es-ES"/>
        </w:rPr>
        <w:t xml:space="preserve"> de modo directo y el último</w:t>
      </w:r>
      <w:r>
        <w:rPr>
          <w:bCs/>
          <w:szCs w:val="28"/>
          <w:lang w:val="es-ES"/>
        </w:rPr>
        <w:t xml:space="preserve"> por causa de yerros probatorios de hecho cometidos por el Tribunal en la apreciación de la demanda</w:t>
      </w:r>
      <w:r w:rsidR="002D0D3B">
        <w:rPr>
          <w:bCs/>
          <w:szCs w:val="28"/>
          <w:lang w:val="es-ES"/>
        </w:rPr>
        <w:t xml:space="preserve"> y demás pruebas, embates estos que la Corte despachará de manera conjunta </w:t>
      </w:r>
      <w:r w:rsidR="006909D3">
        <w:rPr>
          <w:bCs/>
          <w:szCs w:val="28"/>
          <w:lang w:val="es-ES"/>
        </w:rPr>
        <w:t xml:space="preserve">por </w:t>
      </w:r>
      <w:r w:rsidR="002D0D3B">
        <w:rPr>
          <w:bCs/>
          <w:szCs w:val="28"/>
          <w:lang w:val="es-ES"/>
        </w:rPr>
        <w:t>compart</w:t>
      </w:r>
      <w:r w:rsidR="006909D3">
        <w:rPr>
          <w:bCs/>
          <w:szCs w:val="28"/>
          <w:lang w:val="es-ES"/>
        </w:rPr>
        <w:t>ir</w:t>
      </w:r>
      <w:r w:rsidR="002D0D3B">
        <w:rPr>
          <w:bCs/>
          <w:szCs w:val="28"/>
          <w:lang w:val="es-ES"/>
        </w:rPr>
        <w:t xml:space="preserve"> similares consideraciones.</w:t>
      </w:r>
    </w:p>
    <w:p w:rsidR="00D959B2" w:rsidRDefault="00D959B2" w:rsidP="005A5E60">
      <w:pPr>
        <w:autoSpaceDE w:val="0"/>
        <w:autoSpaceDN w:val="0"/>
        <w:ind w:firstLine="708"/>
        <w:rPr>
          <w:bCs/>
          <w:szCs w:val="28"/>
          <w:lang w:val="es-ES"/>
        </w:rPr>
      </w:pPr>
    </w:p>
    <w:p w:rsidR="005A5E60" w:rsidRPr="005A5E60" w:rsidRDefault="001623B8" w:rsidP="005A5E60">
      <w:pPr>
        <w:autoSpaceDE w:val="0"/>
        <w:autoSpaceDN w:val="0"/>
        <w:ind w:firstLine="708"/>
        <w:rPr>
          <w:bCs/>
          <w:szCs w:val="28"/>
          <w:lang w:val="es-ES"/>
        </w:rPr>
      </w:pPr>
      <w:r>
        <w:rPr>
          <w:bCs/>
          <w:szCs w:val="28"/>
          <w:lang w:val="es-ES"/>
        </w:rPr>
        <w:t xml:space="preserve">Por lo demás, debe quedar advertido de una vez que como </w:t>
      </w:r>
      <w:r w:rsidR="005A5E60" w:rsidRPr="005A5E60">
        <w:rPr>
          <w:bCs/>
          <w:szCs w:val="28"/>
          <w:lang w:val="es-ES"/>
        </w:rPr>
        <w:t>la impugnación extraordinaria se presentó y concedió en el año 2013, la normativa aplicable será la</w:t>
      </w:r>
      <w:r>
        <w:rPr>
          <w:bCs/>
          <w:szCs w:val="28"/>
          <w:lang w:val="es-ES"/>
        </w:rPr>
        <w:t xml:space="preserve"> contenida </w:t>
      </w:r>
      <w:r w:rsidR="005A5E60" w:rsidRPr="005A5E60">
        <w:rPr>
          <w:bCs/>
          <w:szCs w:val="28"/>
          <w:lang w:val="es-ES"/>
        </w:rPr>
        <w:t>en el Código de Procedimiento Civil, por ser la legislación vigente al tiempo de su formulación y concesión, acorde con lo ordenado por el artículo 624 de la ley 1564 de 2012 (Código General del Proceso).</w:t>
      </w:r>
    </w:p>
    <w:p w:rsidR="00943AB1" w:rsidRDefault="00943AB1" w:rsidP="009F7E87">
      <w:pPr>
        <w:spacing w:after="120"/>
        <w:ind w:firstLine="709"/>
        <w:rPr>
          <w:szCs w:val="28"/>
          <w:lang w:val="es-ES"/>
        </w:rPr>
      </w:pPr>
    </w:p>
    <w:p w:rsidR="008B23F6" w:rsidRPr="009963B1" w:rsidRDefault="009963B1" w:rsidP="009963B1">
      <w:pPr>
        <w:spacing w:after="120"/>
        <w:ind w:firstLine="709"/>
        <w:jc w:val="center"/>
        <w:rPr>
          <w:b/>
          <w:szCs w:val="28"/>
          <w:lang w:val="es-ES"/>
        </w:rPr>
      </w:pPr>
      <w:r w:rsidRPr="009963B1">
        <w:rPr>
          <w:b/>
          <w:szCs w:val="28"/>
          <w:lang w:val="es-ES"/>
        </w:rPr>
        <w:t>PRIMER CARGO</w:t>
      </w:r>
    </w:p>
    <w:p w:rsidR="005B7907" w:rsidRDefault="009963B1" w:rsidP="009F7E87">
      <w:pPr>
        <w:spacing w:after="120"/>
        <w:ind w:firstLine="709"/>
        <w:rPr>
          <w:szCs w:val="28"/>
          <w:lang w:val="es-ES"/>
        </w:rPr>
      </w:pPr>
      <w:r>
        <w:rPr>
          <w:szCs w:val="28"/>
          <w:lang w:val="es-ES"/>
        </w:rPr>
        <w:t>Se</w:t>
      </w:r>
      <w:r w:rsidR="005B7907">
        <w:rPr>
          <w:szCs w:val="28"/>
          <w:lang w:val="es-ES"/>
        </w:rPr>
        <w:t xml:space="preserve"> acusa la sentencia de ser </w:t>
      </w:r>
      <w:r w:rsidR="005B7907" w:rsidRPr="00592EBB">
        <w:rPr>
          <w:szCs w:val="28"/>
          <w:u w:val="single"/>
          <w:lang w:val="es-ES"/>
        </w:rPr>
        <w:t>directamente violatoria</w:t>
      </w:r>
      <w:r w:rsidR="005B7907">
        <w:rPr>
          <w:szCs w:val="28"/>
          <w:lang w:val="es-ES"/>
        </w:rPr>
        <w:t xml:space="preserve"> de las normas sustanciales contenidas en los artículos 256, 218, 219, 220, 223, 225, 229, 230, 232, 234, 235, 236, 237, 498, 499, 505 y 506 del Código de Comercio</w:t>
      </w:r>
      <w:r w:rsidR="00491210">
        <w:rPr>
          <w:szCs w:val="28"/>
          <w:lang w:val="es-ES"/>
        </w:rPr>
        <w:t>.</w:t>
      </w:r>
    </w:p>
    <w:p w:rsidR="00592EBB" w:rsidRDefault="00592EBB" w:rsidP="009F7E87">
      <w:pPr>
        <w:spacing w:after="120"/>
        <w:ind w:firstLine="709"/>
        <w:rPr>
          <w:szCs w:val="28"/>
          <w:lang w:val="es-ES"/>
        </w:rPr>
      </w:pPr>
    </w:p>
    <w:p w:rsidR="008B23F6" w:rsidRDefault="00592EBB" w:rsidP="009F7E87">
      <w:pPr>
        <w:spacing w:after="120"/>
        <w:ind w:firstLine="709"/>
        <w:rPr>
          <w:szCs w:val="28"/>
          <w:lang w:val="es-ES"/>
        </w:rPr>
      </w:pPr>
      <w:r>
        <w:rPr>
          <w:szCs w:val="28"/>
          <w:lang w:val="es-ES"/>
        </w:rPr>
        <w:t>En procura de su desarrollo</w:t>
      </w:r>
      <w:r w:rsidR="006909D3">
        <w:rPr>
          <w:szCs w:val="28"/>
          <w:lang w:val="es-ES"/>
        </w:rPr>
        <w:t>,</w:t>
      </w:r>
      <w:r>
        <w:rPr>
          <w:szCs w:val="28"/>
          <w:lang w:val="es-ES"/>
        </w:rPr>
        <w:t xml:space="preserve"> y l</w:t>
      </w:r>
      <w:r w:rsidR="00491210">
        <w:rPr>
          <w:szCs w:val="28"/>
          <w:lang w:val="es-ES"/>
        </w:rPr>
        <w:t xml:space="preserve">uego de resaltar que en virtud del artículo 256 del </w:t>
      </w:r>
      <w:r w:rsidR="005A5E60">
        <w:rPr>
          <w:szCs w:val="28"/>
          <w:lang w:val="es-ES"/>
        </w:rPr>
        <w:t xml:space="preserve">Código </w:t>
      </w:r>
      <w:r w:rsidR="00491210">
        <w:rPr>
          <w:szCs w:val="28"/>
          <w:lang w:val="es-ES"/>
        </w:rPr>
        <w:t xml:space="preserve">de </w:t>
      </w:r>
      <w:r w:rsidR="005A5E60">
        <w:rPr>
          <w:szCs w:val="28"/>
          <w:lang w:val="es-ES"/>
        </w:rPr>
        <w:t xml:space="preserve">Comercio </w:t>
      </w:r>
      <w:r w:rsidR="00491210">
        <w:rPr>
          <w:szCs w:val="28"/>
          <w:lang w:val="es-ES"/>
        </w:rPr>
        <w:t>el término de prescripción de las acciones de los asociados entre sí prescribe en cinco años que se cuentan a partir de la fecha de disolución de la sociedad</w:t>
      </w:r>
      <w:r w:rsidR="006909D3">
        <w:rPr>
          <w:szCs w:val="28"/>
          <w:lang w:val="es-ES"/>
        </w:rPr>
        <w:t>,</w:t>
      </w:r>
      <w:r w:rsidR="00491210">
        <w:rPr>
          <w:szCs w:val="28"/>
          <w:lang w:val="es-ES"/>
        </w:rPr>
        <w:t xml:space="preserve"> y de resaltar que según el artículo 219 del mismo estatuto deben cumplirse ciertas formalidades para esa disolución como las previstas para la adopción de reformas al contrato social, afirma que las reglas de</w:t>
      </w:r>
      <w:r w:rsidR="00850B0B">
        <w:rPr>
          <w:szCs w:val="28"/>
          <w:lang w:val="es-ES"/>
        </w:rPr>
        <w:t xml:space="preserve"> disolución y</w:t>
      </w:r>
      <w:r w:rsidR="00491210">
        <w:rPr>
          <w:szCs w:val="28"/>
          <w:lang w:val="es-ES"/>
        </w:rPr>
        <w:t xml:space="preserve"> liquidación del patrimonio social se aplican a las sociedades mercantiles de hecho por expreso mandato del artículo 506</w:t>
      </w:r>
      <w:r w:rsidR="005A5E60">
        <w:rPr>
          <w:szCs w:val="28"/>
          <w:lang w:val="es-ES"/>
        </w:rPr>
        <w:t>,</w:t>
      </w:r>
      <w:r w:rsidR="00850B0B">
        <w:rPr>
          <w:szCs w:val="28"/>
          <w:lang w:val="es-ES"/>
        </w:rPr>
        <w:t xml:space="preserve"> por lo que también las reglas previstas para la reforma del contrato social son aplicables a la sociedad de hecho, es decir, los socios debe declarar disuelta la sociedad indicando la ocurrencia de la causal de disolución y dar cumplimiento a las formalidades exigidas para esas reformas.</w:t>
      </w:r>
    </w:p>
    <w:p w:rsidR="00850B0B" w:rsidRDefault="00850B0B" w:rsidP="009F7E87">
      <w:pPr>
        <w:spacing w:after="120"/>
        <w:ind w:firstLine="709"/>
        <w:rPr>
          <w:szCs w:val="28"/>
          <w:lang w:val="es-ES"/>
        </w:rPr>
      </w:pPr>
    </w:p>
    <w:p w:rsidR="00850B0B" w:rsidRDefault="00850B0B" w:rsidP="009F7E87">
      <w:pPr>
        <w:spacing w:after="120"/>
        <w:ind w:firstLine="709"/>
        <w:rPr>
          <w:szCs w:val="28"/>
          <w:lang w:val="es-ES"/>
        </w:rPr>
      </w:pPr>
      <w:r>
        <w:rPr>
          <w:szCs w:val="28"/>
          <w:lang w:val="es-ES"/>
        </w:rPr>
        <w:t xml:space="preserve">Por consiguiente, </w:t>
      </w:r>
      <w:r w:rsidR="0030555E">
        <w:rPr>
          <w:szCs w:val="28"/>
          <w:lang w:val="es-ES"/>
        </w:rPr>
        <w:t xml:space="preserve">de acuerdo con ese discurrir, para los impugnantes </w:t>
      </w:r>
      <w:r>
        <w:rPr>
          <w:szCs w:val="28"/>
          <w:lang w:val="es-ES"/>
        </w:rPr>
        <w:t>la sociedad de hecho conformada entre Luis Fernando Mejía Otero y Tamer Ltda.</w:t>
      </w:r>
      <w:r w:rsidR="003A6E00">
        <w:rPr>
          <w:szCs w:val="28"/>
          <w:lang w:val="es-ES"/>
        </w:rPr>
        <w:t xml:space="preserve"> no fue objeto de disolución y liquidación</w:t>
      </w:r>
      <w:r w:rsidR="00EC387C">
        <w:rPr>
          <w:szCs w:val="28"/>
          <w:lang w:val="es-ES"/>
        </w:rPr>
        <w:t xml:space="preserve">, por lo que </w:t>
      </w:r>
      <w:r w:rsidR="003A6E00">
        <w:rPr>
          <w:szCs w:val="28"/>
          <w:lang w:val="es-ES"/>
        </w:rPr>
        <w:t xml:space="preserve">no se le puede aplicar el artículo 256 del </w:t>
      </w:r>
      <w:r w:rsidR="005A5E60">
        <w:rPr>
          <w:szCs w:val="28"/>
          <w:lang w:val="es-ES"/>
        </w:rPr>
        <w:t xml:space="preserve">Código </w:t>
      </w:r>
      <w:r w:rsidR="003A6E00">
        <w:rPr>
          <w:szCs w:val="28"/>
          <w:lang w:val="es-ES"/>
        </w:rPr>
        <w:t xml:space="preserve">de </w:t>
      </w:r>
      <w:r w:rsidR="005A5E60">
        <w:rPr>
          <w:szCs w:val="28"/>
          <w:lang w:val="es-ES"/>
        </w:rPr>
        <w:t>Comercio</w:t>
      </w:r>
      <w:r w:rsidR="00EC387C">
        <w:rPr>
          <w:szCs w:val="28"/>
          <w:lang w:val="es-ES"/>
        </w:rPr>
        <w:t>,</w:t>
      </w:r>
      <w:r w:rsidR="005A5E60">
        <w:rPr>
          <w:szCs w:val="28"/>
          <w:lang w:val="es-ES"/>
        </w:rPr>
        <w:t xml:space="preserve"> </w:t>
      </w:r>
      <w:r w:rsidR="003A6E00">
        <w:rPr>
          <w:szCs w:val="28"/>
          <w:lang w:val="es-ES"/>
        </w:rPr>
        <w:t>lo que conduce a entender que la acción incoada no se encuentra prescrita en relación con la sociedad de hecho mencionada.</w:t>
      </w:r>
    </w:p>
    <w:p w:rsidR="005A5E60" w:rsidRDefault="005A5E60" w:rsidP="009F7E87">
      <w:pPr>
        <w:spacing w:after="120"/>
        <w:ind w:firstLine="709"/>
        <w:rPr>
          <w:szCs w:val="28"/>
          <w:lang w:val="es-ES"/>
        </w:rPr>
      </w:pPr>
    </w:p>
    <w:p w:rsidR="003A6E00" w:rsidRPr="003A6E00" w:rsidRDefault="003A6E00" w:rsidP="003A6E00">
      <w:pPr>
        <w:spacing w:after="120"/>
        <w:ind w:firstLine="709"/>
        <w:jc w:val="center"/>
        <w:rPr>
          <w:b/>
          <w:szCs w:val="28"/>
          <w:lang w:val="es-ES"/>
        </w:rPr>
      </w:pPr>
      <w:r w:rsidRPr="003A6E00">
        <w:rPr>
          <w:b/>
          <w:szCs w:val="28"/>
          <w:lang w:val="es-ES"/>
        </w:rPr>
        <w:t>SEGUNDO CARGO</w:t>
      </w:r>
    </w:p>
    <w:p w:rsidR="008B23F6" w:rsidRDefault="008B23F6" w:rsidP="009F7E87">
      <w:pPr>
        <w:spacing w:after="120"/>
        <w:ind w:firstLine="709"/>
        <w:rPr>
          <w:szCs w:val="28"/>
          <w:lang w:val="es-ES"/>
        </w:rPr>
      </w:pPr>
    </w:p>
    <w:p w:rsidR="003A6E00" w:rsidRDefault="003A6E00" w:rsidP="009F7E87">
      <w:pPr>
        <w:spacing w:after="120"/>
        <w:ind w:firstLine="709"/>
        <w:rPr>
          <w:szCs w:val="28"/>
          <w:lang w:val="es-ES"/>
        </w:rPr>
      </w:pPr>
      <w:r>
        <w:rPr>
          <w:szCs w:val="28"/>
          <w:lang w:val="es-ES"/>
        </w:rPr>
        <w:t xml:space="preserve">También articulado en la causal primera de casación, se acusa la sentencia impugnada de ser violatoria por </w:t>
      </w:r>
      <w:r w:rsidRPr="0083525C">
        <w:rPr>
          <w:szCs w:val="28"/>
          <w:u w:val="single"/>
          <w:lang w:val="es-ES"/>
        </w:rPr>
        <w:t>vía directa</w:t>
      </w:r>
      <w:r>
        <w:rPr>
          <w:szCs w:val="28"/>
          <w:lang w:val="es-ES"/>
        </w:rPr>
        <w:t xml:space="preserve"> de las normas sustanciales contenidas en los artículos 2535, 2536, 2539 del Código Civil y 41 de la ley 153 de 1887.</w:t>
      </w:r>
    </w:p>
    <w:p w:rsidR="003A6E00" w:rsidRDefault="003A6E00" w:rsidP="009F7E87">
      <w:pPr>
        <w:spacing w:after="120"/>
        <w:ind w:firstLine="709"/>
        <w:rPr>
          <w:szCs w:val="28"/>
          <w:lang w:val="es-ES"/>
        </w:rPr>
      </w:pPr>
    </w:p>
    <w:p w:rsidR="003A6E00" w:rsidRDefault="003A6E00" w:rsidP="009F7E87">
      <w:pPr>
        <w:spacing w:after="120"/>
        <w:ind w:firstLine="709"/>
        <w:rPr>
          <w:szCs w:val="28"/>
          <w:lang w:val="es-ES"/>
        </w:rPr>
      </w:pPr>
      <w:r>
        <w:rPr>
          <w:szCs w:val="28"/>
          <w:lang w:val="es-ES"/>
        </w:rPr>
        <w:t>E</w:t>
      </w:r>
      <w:r w:rsidR="00EC387C">
        <w:rPr>
          <w:szCs w:val="28"/>
          <w:lang w:val="es-ES"/>
        </w:rPr>
        <w:t>n procura de su demostración, e</w:t>
      </w:r>
      <w:r>
        <w:rPr>
          <w:szCs w:val="28"/>
          <w:lang w:val="es-ES"/>
        </w:rPr>
        <w:t xml:space="preserve"> hilvanando lo aseverado en el cargo anterior, dice la censura que al no ser aplicable el artículo 256 del Código de Comercio debía entonces el Tribunal </w:t>
      </w:r>
      <w:r w:rsidR="00EC387C">
        <w:rPr>
          <w:szCs w:val="28"/>
          <w:lang w:val="es-ES"/>
        </w:rPr>
        <w:t>utilizar</w:t>
      </w:r>
      <w:r>
        <w:rPr>
          <w:szCs w:val="28"/>
          <w:lang w:val="es-ES"/>
        </w:rPr>
        <w:t xml:space="preserve"> los preceptos del </w:t>
      </w:r>
      <w:r w:rsidR="0083525C">
        <w:rPr>
          <w:szCs w:val="28"/>
          <w:lang w:val="es-ES"/>
        </w:rPr>
        <w:t xml:space="preserve">Código Civil </w:t>
      </w:r>
      <w:r w:rsidR="00327CBB">
        <w:rPr>
          <w:szCs w:val="28"/>
          <w:lang w:val="es-ES"/>
        </w:rPr>
        <w:t xml:space="preserve">con las modificaciones introducidas por la </w:t>
      </w:r>
      <w:r w:rsidR="00EC387C">
        <w:rPr>
          <w:szCs w:val="28"/>
          <w:lang w:val="es-ES"/>
        </w:rPr>
        <w:t xml:space="preserve">Ley </w:t>
      </w:r>
      <w:r w:rsidR="00327CBB">
        <w:rPr>
          <w:szCs w:val="28"/>
          <w:lang w:val="es-ES"/>
        </w:rPr>
        <w:t xml:space="preserve">791 de 2002. Reitera que no </w:t>
      </w:r>
      <w:r w:rsidR="00EC387C">
        <w:rPr>
          <w:szCs w:val="28"/>
          <w:lang w:val="es-ES"/>
        </w:rPr>
        <w:t xml:space="preserve">debe hacerse actuar </w:t>
      </w:r>
      <w:r w:rsidR="00327CBB">
        <w:rPr>
          <w:szCs w:val="28"/>
          <w:lang w:val="es-ES"/>
        </w:rPr>
        <w:t>el mentado artículo 256 pues no se dan los supuestos que la norma establece, “</w:t>
      </w:r>
      <w:r w:rsidR="00327CBB" w:rsidRPr="00F01A24">
        <w:rPr>
          <w:i/>
          <w:szCs w:val="28"/>
          <w:lang w:val="es-ES"/>
        </w:rPr>
        <w:t>en razón a que la acción ejercida en este proceso no se circunscribe a una acción entre asociados simplemente, sino que se trata de una acción de más amplio espectro y alcance, donde se involucran causahabientes y</w:t>
      </w:r>
      <w:r w:rsidR="00F2738D">
        <w:rPr>
          <w:i/>
          <w:szCs w:val="28"/>
          <w:lang w:val="es-ES"/>
        </w:rPr>
        <w:t xml:space="preserve"> cesionarios los cuales integran</w:t>
      </w:r>
      <w:r w:rsidR="00327CBB" w:rsidRPr="00F01A24">
        <w:rPr>
          <w:i/>
          <w:szCs w:val="28"/>
          <w:lang w:val="es-ES"/>
        </w:rPr>
        <w:t xml:space="preserve"> el contradictorio</w:t>
      </w:r>
      <w:r w:rsidR="00327CBB">
        <w:rPr>
          <w:szCs w:val="28"/>
          <w:lang w:val="es-ES"/>
        </w:rPr>
        <w:t>” (f. 32, c. Corte). Reitera que no se ha ejercitado entonces la acción del artículo 256 sino la acción ordinaria cuyo término de prescripción está previsto en los preceptos que en este cargo tilda de infringidos, pues “</w:t>
      </w:r>
      <w:r w:rsidR="00327CBB" w:rsidRPr="00F01A24">
        <w:rPr>
          <w:i/>
          <w:szCs w:val="28"/>
          <w:lang w:val="es-ES"/>
        </w:rPr>
        <w:t xml:space="preserve">la acción ejercida busca la declaratoria de nulidad absoluta de los actos de transferencia de dominio sobre distintos inmuebles por los cuales se desconocieron los derechos de Luis Fernando Mejía Otero y </w:t>
      </w:r>
      <w:r w:rsidR="00F01A24" w:rsidRPr="00F01A24">
        <w:rPr>
          <w:i/>
          <w:szCs w:val="28"/>
          <w:lang w:val="es-ES"/>
        </w:rPr>
        <w:t xml:space="preserve">Reusar Ltda. por cuanto carecían </w:t>
      </w:r>
      <w:r w:rsidR="00EC387C">
        <w:rPr>
          <w:i/>
          <w:szCs w:val="28"/>
          <w:lang w:val="es-ES"/>
        </w:rPr>
        <w:t xml:space="preserve">de </w:t>
      </w:r>
      <w:r w:rsidR="00327CBB" w:rsidRPr="00F01A24">
        <w:rPr>
          <w:i/>
          <w:szCs w:val="28"/>
          <w:lang w:val="es-ES"/>
        </w:rPr>
        <w:t>causa</w:t>
      </w:r>
      <w:r w:rsidR="00F01A24" w:rsidRPr="00F01A24">
        <w:rPr>
          <w:i/>
          <w:szCs w:val="28"/>
          <w:lang w:val="es-ES"/>
        </w:rPr>
        <w:t xml:space="preserve"> (sic)</w:t>
      </w:r>
      <w:r w:rsidR="00327CBB" w:rsidRPr="00F01A24">
        <w:rPr>
          <w:i/>
          <w:szCs w:val="28"/>
          <w:lang w:val="es-ES"/>
        </w:rPr>
        <w:t xml:space="preserve"> legal y de justo título y se traducía</w:t>
      </w:r>
      <w:r w:rsidR="00F01A24" w:rsidRPr="00F01A24">
        <w:rPr>
          <w:i/>
          <w:szCs w:val="28"/>
          <w:lang w:val="es-ES"/>
        </w:rPr>
        <w:t>n</w:t>
      </w:r>
      <w:r w:rsidR="00327CBB" w:rsidRPr="00F01A24">
        <w:rPr>
          <w:i/>
          <w:szCs w:val="28"/>
          <w:lang w:val="es-ES"/>
        </w:rPr>
        <w:t xml:space="preserve"> en un enriquecimiento sin causa a favor de quienes figuran como titulares actuales de los derechos reales de dominio</w:t>
      </w:r>
      <w:r w:rsidR="00F01A24">
        <w:rPr>
          <w:szCs w:val="28"/>
          <w:lang w:val="es-ES"/>
        </w:rPr>
        <w:t>” (ibídem).</w:t>
      </w:r>
    </w:p>
    <w:p w:rsidR="00F01A24" w:rsidRDefault="00F01A24" w:rsidP="009F7E87">
      <w:pPr>
        <w:spacing w:after="120"/>
        <w:ind w:firstLine="709"/>
        <w:rPr>
          <w:szCs w:val="28"/>
          <w:lang w:val="es-ES"/>
        </w:rPr>
      </w:pPr>
    </w:p>
    <w:p w:rsidR="00F01A24" w:rsidRDefault="00F01A24" w:rsidP="009F7E87">
      <w:pPr>
        <w:spacing w:after="120"/>
        <w:ind w:firstLine="709"/>
        <w:rPr>
          <w:szCs w:val="28"/>
          <w:lang w:val="es-ES"/>
        </w:rPr>
      </w:pPr>
      <w:r>
        <w:rPr>
          <w:szCs w:val="28"/>
          <w:lang w:val="es-ES"/>
        </w:rPr>
        <w:t xml:space="preserve">Por consiguiente, </w:t>
      </w:r>
      <w:r w:rsidR="00EC387C">
        <w:rPr>
          <w:szCs w:val="28"/>
          <w:lang w:val="es-ES"/>
        </w:rPr>
        <w:t xml:space="preserve">continúa la censura, </w:t>
      </w:r>
      <w:r>
        <w:rPr>
          <w:szCs w:val="28"/>
          <w:lang w:val="es-ES"/>
        </w:rPr>
        <w:t xml:space="preserve">si se está frente a una acción ordinaria cuya prescripción antes de la vigencia de la ley 791 de 2002 era de 20 años y luego de esta de 10 años, resulta pertinente la aplicación del artículo 41 de la ley 153 de 1887 que permite al prescribiente elegir. Por lo que si la </w:t>
      </w:r>
      <w:r w:rsidR="0083525C">
        <w:rPr>
          <w:szCs w:val="28"/>
          <w:lang w:val="es-ES"/>
        </w:rPr>
        <w:t>prescripción</w:t>
      </w:r>
      <w:r>
        <w:rPr>
          <w:szCs w:val="28"/>
          <w:lang w:val="es-ES"/>
        </w:rPr>
        <w:t xml:space="preserve"> debía comenzar a correr a partir de 1994 cuando se hizo la distribución de los bienes y se le desconoció a los demandantes los derechos que tenía</w:t>
      </w:r>
      <w:r w:rsidR="0083525C">
        <w:rPr>
          <w:szCs w:val="28"/>
          <w:lang w:val="es-ES"/>
        </w:rPr>
        <w:t>n</w:t>
      </w:r>
      <w:r>
        <w:rPr>
          <w:szCs w:val="28"/>
          <w:lang w:val="es-ES"/>
        </w:rPr>
        <w:t xml:space="preserve"> sobre</w:t>
      </w:r>
      <w:r w:rsidR="0083525C">
        <w:rPr>
          <w:szCs w:val="28"/>
          <w:lang w:val="es-ES"/>
        </w:rPr>
        <w:t xml:space="preserve"> bienes </w:t>
      </w:r>
      <w:r>
        <w:rPr>
          <w:szCs w:val="28"/>
          <w:lang w:val="es-ES"/>
        </w:rPr>
        <w:t>adquiridos con recursos de las sociedades constituidas y de hecho, “</w:t>
      </w:r>
      <w:r w:rsidRPr="00194D3B">
        <w:rPr>
          <w:i/>
          <w:szCs w:val="28"/>
          <w:lang w:val="es-ES"/>
        </w:rPr>
        <w:t>las cuales no fueron formalmente declaradas disueltas y liquidadas en esa época</w:t>
      </w:r>
      <w:r w:rsidR="003D517E">
        <w:rPr>
          <w:szCs w:val="28"/>
          <w:lang w:val="es-ES"/>
        </w:rPr>
        <w:t>” (f. 33) así como los derechos que tenía</w:t>
      </w:r>
      <w:r w:rsidR="00596E72">
        <w:rPr>
          <w:szCs w:val="28"/>
          <w:lang w:val="es-ES"/>
        </w:rPr>
        <w:t>n</w:t>
      </w:r>
      <w:r w:rsidR="003D517E">
        <w:rPr>
          <w:szCs w:val="28"/>
          <w:lang w:val="es-ES"/>
        </w:rPr>
        <w:t xml:space="preserve"> sobre los recursos que les pertenecían a dichas sociedades y que d</w:t>
      </w:r>
      <w:r w:rsidR="00194D3B">
        <w:rPr>
          <w:szCs w:val="28"/>
          <w:lang w:val="es-ES"/>
        </w:rPr>
        <w:t xml:space="preserve">ebieron corresponderle en un 50% a Luis </w:t>
      </w:r>
      <w:r w:rsidR="003D517E">
        <w:rPr>
          <w:szCs w:val="28"/>
          <w:lang w:val="es-ES"/>
        </w:rPr>
        <w:t>Fernando Mejía, debe entonces contabilizarse a partir de aquella fecha los 20 años de prescripción. Y si se optar</w:t>
      </w:r>
      <w:r w:rsidR="00194D3B">
        <w:rPr>
          <w:szCs w:val="28"/>
          <w:lang w:val="es-ES"/>
        </w:rPr>
        <w:t>a</w:t>
      </w:r>
      <w:r w:rsidR="003D517E">
        <w:rPr>
          <w:szCs w:val="28"/>
          <w:lang w:val="es-ES"/>
        </w:rPr>
        <w:t xml:space="preserve"> por la prescripción propia de la acción ordinaria según los términos de la </w:t>
      </w:r>
      <w:r w:rsidR="00596E72">
        <w:rPr>
          <w:szCs w:val="28"/>
          <w:lang w:val="es-ES"/>
        </w:rPr>
        <w:t xml:space="preserve">Ley </w:t>
      </w:r>
      <w:r w:rsidR="003D517E">
        <w:rPr>
          <w:szCs w:val="28"/>
          <w:lang w:val="es-ES"/>
        </w:rPr>
        <w:t>791, los 10 años allí previstos debían contarse a partir de la vigencia de esa normativa, es decir, a partir del 27 de diciembre de 2002.</w:t>
      </w:r>
    </w:p>
    <w:p w:rsidR="003D517E" w:rsidRDefault="003D517E" w:rsidP="009F7E87">
      <w:pPr>
        <w:spacing w:after="120"/>
        <w:ind w:firstLine="709"/>
        <w:rPr>
          <w:szCs w:val="28"/>
          <w:lang w:val="es-ES"/>
        </w:rPr>
      </w:pPr>
      <w:r>
        <w:rPr>
          <w:szCs w:val="28"/>
          <w:lang w:val="es-ES"/>
        </w:rPr>
        <w:t>Por lo anterior, concluye que no ha operado en el caso del fenómeno de la prescripción</w:t>
      </w:r>
      <w:r w:rsidR="002D0D3B">
        <w:rPr>
          <w:szCs w:val="28"/>
          <w:lang w:val="es-ES"/>
        </w:rPr>
        <w:t>.</w:t>
      </w:r>
    </w:p>
    <w:p w:rsidR="002D0D3B" w:rsidRDefault="002D0D3B" w:rsidP="009F7E87">
      <w:pPr>
        <w:spacing w:after="120"/>
        <w:ind w:firstLine="709"/>
        <w:rPr>
          <w:szCs w:val="28"/>
          <w:lang w:val="es-ES"/>
        </w:rPr>
      </w:pPr>
    </w:p>
    <w:p w:rsidR="002D0D3B" w:rsidRDefault="002D0D3B" w:rsidP="002D0D3B">
      <w:pPr>
        <w:spacing w:after="120"/>
        <w:ind w:firstLine="709"/>
        <w:jc w:val="center"/>
        <w:rPr>
          <w:b/>
          <w:szCs w:val="28"/>
          <w:lang w:val="es-ES"/>
        </w:rPr>
      </w:pPr>
      <w:r w:rsidRPr="002D0D3B">
        <w:rPr>
          <w:b/>
          <w:szCs w:val="28"/>
          <w:lang w:val="es-ES"/>
        </w:rPr>
        <w:t>TERCER CARGO</w:t>
      </w:r>
    </w:p>
    <w:p w:rsidR="002D0D3B" w:rsidRDefault="002D0D3B" w:rsidP="002D0D3B">
      <w:pPr>
        <w:spacing w:after="120"/>
        <w:ind w:firstLine="709"/>
        <w:rPr>
          <w:szCs w:val="28"/>
          <w:lang w:val="es-ES"/>
        </w:rPr>
      </w:pPr>
    </w:p>
    <w:p w:rsidR="001D0E3E" w:rsidRDefault="002D0D3B" w:rsidP="002D0D3B">
      <w:pPr>
        <w:spacing w:after="120"/>
        <w:ind w:firstLine="709"/>
        <w:rPr>
          <w:szCs w:val="28"/>
          <w:lang w:val="es-ES"/>
        </w:rPr>
      </w:pPr>
      <w:r>
        <w:rPr>
          <w:szCs w:val="28"/>
          <w:lang w:val="es-ES"/>
        </w:rPr>
        <w:t xml:space="preserve">Se acusa la sentencia de ser </w:t>
      </w:r>
      <w:r w:rsidR="001D0E3E" w:rsidRPr="001D0E3E">
        <w:rPr>
          <w:szCs w:val="28"/>
          <w:u w:val="single"/>
          <w:lang w:val="es-ES"/>
        </w:rPr>
        <w:t>in</w:t>
      </w:r>
      <w:r w:rsidRPr="00592EBB">
        <w:rPr>
          <w:szCs w:val="28"/>
          <w:u w:val="single"/>
          <w:lang w:val="es-ES"/>
        </w:rPr>
        <w:t>directamente violatoria</w:t>
      </w:r>
      <w:r>
        <w:rPr>
          <w:szCs w:val="28"/>
          <w:lang w:val="es-ES"/>
        </w:rPr>
        <w:t xml:space="preserve"> de las normas sustanciales contenidas en los artículos 256, 218, 219, 220, 223, 225, 229, 230, 232, 234, 235, 236, 237, 498, 499, 505 y 506 del Código de Comercio</w:t>
      </w:r>
      <w:r w:rsidR="001D0E3E">
        <w:rPr>
          <w:szCs w:val="28"/>
          <w:lang w:val="es-ES"/>
        </w:rPr>
        <w:t xml:space="preserve">, </w:t>
      </w:r>
      <w:r w:rsidR="00596E72">
        <w:rPr>
          <w:szCs w:val="28"/>
          <w:lang w:val="es-ES"/>
        </w:rPr>
        <w:t>com</w:t>
      </w:r>
      <w:r w:rsidR="001D0E3E">
        <w:rPr>
          <w:szCs w:val="28"/>
          <w:lang w:val="es-ES"/>
        </w:rPr>
        <w:t xml:space="preserve">o fruto de error de hecho manifiesto en la apreciación de la demanda y de otras pruebas. </w:t>
      </w:r>
    </w:p>
    <w:p w:rsidR="001D0E3E" w:rsidRDefault="001D0E3E" w:rsidP="002D0D3B">
      <w:pPr>
        <w:spacing w:after="120"/>
        <w:ind w:firstLine="709"/>
        <w:rPr>
          <w:szCs w:val="28"/>
          <w:lang w:val="es-ES"/>
        </w:rPr>
      </w:pPr>
    </w:p>
    <w:p w:rsidR="002D0D3B" w:rsidRDefault="001D0E3E" w:rsidP="002D0D3B">
      <w:pPr>
        <w:spacing w:after="120"/>
        <w:ind w:firstLine="709"/>
        <w:rPr>
          <w:szCs w:val="28"/>
          <w:lang w:val="es-ES"/>
        </w:rPr>
      </w:pPr>
      <w:r>
        <w:rPr>
          <w:szCs w:val="28"/>
          <w:lang w:val="es-ES"/>
        </w:rPr>
        <w:t>Para su demostración, comienza por aclarar que no hay contraposición entre la pretensión cuarta y la octava pues en ellas claramente se establece que se pide la declaración de que existió una sociedad de hecho conformada por Tamer Ltda. y Luis Fernando Mejía Otero.</w:t>
      </w:r>
    </w:p>
    <w:p w:rsidR="001D0E3E" w:rsidRDefault="001D0E3E" w:rsidP="002D0D3B">
      <w:pPr>
        <w:spacing w:after="120"/>
        <w:ind w:firstLine="709"/>
        <w:rPr>
          <w:szCs w:val="28"/>
          <w:lang w:val="es-ES"/>
        </w:rPr>
      </w:pPr>
    </w:p>
    <w:p w:rsidR="001D0E3E" w:rsidRDefault="001D0E3E" w:rsidP="002D0D3B">
      <w:pPr>
        <w:spacing w:after="120"/>
        <w:ind w:firstLine="709"/>
        <w:rPr>
          <w:szCs w:val="28"/>
          <w:lang w:val="es-ES"/>
        </w:rPr>
      </w:pPr>
      <w:r>
        <w:rPr>
          <w:szCs w:val="28"/>
          <w:lang w:val="es-ES"/>
        </w:rPr>
        <w:t xml:space="preserve">De otra parte, señala que en los hechos 10º, </w:t>
      </w:r>
      <w:r w:rsidR="00596E72">
        <w:rPr>
          <w:szCs w:val="28"/>
          <w:lang w:val="es-ES"/>
        </w:rPr>
        <w:t>11</w:t>
      </w:r>
      <w:r>
        <w:rPr>
          <w:szCs w:val="28"/>
          <w:lang w:val="es-ES"/>
        </w:rPr>
        <w:t>º y 12º no</w:t>
      </w:r>
      <w:r w:rsidR="00596E72">
        <w:rPr>
          <w:szCs w:val="28"/>
          <w:lang w:val="es-ES"/>
        </w:rPr>
        <w:t xml:space="preserve"> </w:t>
      </w:r>
      <w:r>
        <w:rPr>
          <w:szCs w:val="28"/>
          <w:lang w:val="es-ES"/>
        </w:rPr>
        <w:t>s</w:t>
      </w:r>
      <w:r w:rsidR="00596E72">
        <w:rPr>
          <w:szCs w:val="28"/>
          <w:lang w:val="es-ES"/>
        </w:rPr>
        <w:t>e</w:t>
      </w:r>
      <w:r>
        <w:rPr>
          <w:szCs w:val="28"/>
          <w:lang w:val="es-ES"/>
        </w:rPr>
        <w:t xml:space="preserve"> afirma que esa sociedad de hecho haya sido disuelta y liquidada en 1994. Allí</w:t>
      </w:r>
      <w:r w:rsidR="003D4E5E">
        <w:rPr>
          <w:szCs w:val="28"/>
          <w:lang w:val="es-ES"/>
        </w:rPr>
        <w:t xml:space="preserve"> se habla de </w:t>
      </w:r>
      <w:r w:rsidR="00596E72">
        <w:rPr>
          <w:szCs w:val="28"/>
          <w:lang w:val="es-ES"/>
        </w:rPr>
        <w:t xml:space="preserve">la </w:t>
      </w:r>
      <w:r w:rsidR="003D4E5E">
        <w:rPr>
          <w:szCs w:val="28"/>
          <w:lang w:val="es-ES"/>
        </w:rPr>
        <w:t>partición de algunos bienes de esas sociedades y particularmente de la sociedad de hecho aludida en el párrafo anterior, repartición que fue parcial. Y si bien es cierto que el “mercado” de esa sociedad de hecho fue vendido a los competidores, en esa negociación el demandante Luis Fernando Mejía no recibió un sólo peso, “</w:t>
      </w:r>
      <w:r w:rsidR="003D4E5E" w:rsidRPr="00596E72">
        <w:rPr>
          <w:i/>
          <w:szCs w:val="28"/>
          <w:lang w:val="es-ES"/>
        </w:rPr>
        <w:t>por cuanto la sociedad de hecho antes refe</w:t>
      </w:r>
      <w:r w:rsidR="00580756" w:rsidRPr="00596E72">
        <w:rPr>
          <w:i/>
          <w:szCs w:val="28"/>
          <w:lang w:val="es-ES"/>
        </w:rPr>
        <w:t>rida nunca se disolvió y li</w:t>
      </w:r>
      <w:r w:rsidR="003D4E5E" w:rsidRPr="00596E72">
        <w:rPr>
          <w:i/>
          <w:szCs w:val="28"/>
          <w:lang w:val="es-ES"/>
        </w:rPr>
        <w:t>quidó</w:t>
      </w:r>
      <w:r w:rsidR="003D4E5E">
        <w:rPr>
          <w:szCs w:val="28"/>
          <w:lang w:val="es-ES"/>
        </w:rPr>
        <w:t>” (f. 40)</w:t>
      </w:r>
      <w:r w:rsidR="00580756">
        <w:rPr>
          <w:szCs w:val="28"/>
          <w:lang w:val="es-ES"/>
        </w:rPr>
        <w:t>. Por lo que darle a una venta del mercado la con</w:t>
      </w:r>
      <w:r w:rsidR="00EA36FF">
        <w:rPr>
          <w:szCs w:val="28"/>
          <w:lang w:val="es-ES"/>
        </w:rPr>
        <w:t>nota</w:t>
      </w:r>
      <w:r w:rsidR="00580756">
        <w:rPr>
          <w:szCs w:val="28"/>
          <w:lang w:val="es-ES"/>
        </w:rPr>
        <w:t xml:space="preserve">ción de disolución y liquidación de la sociedad de hecho </w:t>
      </w:r>
      <w:r w:rsidR="00EA36FF">
        <w:rPr>
          <w:szCs w:val="28"/>
          <w:lang w:val="es-ES"/>
        </w:rPr>
        <w:t xml:space="preserve">es </w:t>
      </w:r>
      <w:r w:rsidR="00580756">
        <w:rPr>
          <w:szCs w:val="28"/>
          <w:lang w:val="es-ES"/>
        </w:rPr>
        <w:t>aparta</w:t>
      </w:r>
      <w:r w:rsidR="00EA36FF">
        <w:rPr>
          <w:szCs w:val="28"/>
          <w:lang w:val="es-ES"/>
        </w:rPr>
        <w:t>rse</w:t>
      </w:r>
      <w:r w:rsidR="00580756">
        <w:rPr>
          <w:szCs w:val="28"/>
          <w:lang w:val="es-ES"/>
        </w:rPr>
        <w:t xml:space="preserve"> del contenido de la demanda. Recaba en el hecho de que esa partición de 1994 en las distintas sociedades legalmente constituidas no significó la disolución de las mismas como él mismo Tribunal lo reconoce. E igual suerte corrió la sociedad de hecho mencionada, esto es, no fue disuelta ni liquidada e incluso, de esa repartición no quedó constancia alguna en actas, acuerdos ni protocolos.</w:t>
      </w:r>
    </w:p>
    <w:p w:rsidR="00580756" w:rsidRDefault="00580756" w:rsidP="002D0D3B">
      <w:pPr>
        <w:spacing w:after="120"/>
        <w:ind w:firstLine="709"/>
        <w:rPr>
          <w:szCs w:val="28"/>
          <w:lang w:val="es-ES"/>
        </w:rPr>
      </w:pPr>
    </w:p>
    <w:p w:rsidR="00580756" w:rsidRDefault="00580756" w:rsidP="002D0D3B">
      <w:pPr>
        <w:spacing w:after="120"/>
        <w:ind w:firstLine="709"/>
        <w:rPr>
          <w:szCs w:val="28"/>
          <w:lang w:val="es-ES"/>
        </w:rPr>
      </w:pPr>
      <w:r>
        <w:rPr>
          <w:szCs w:val="28"/>
          <w:lang w:val="es-ES"/>
        </w:rPr>
        <w:t>Insiste en que en el hecho 10º y en el 11º</w:t>
      </w:r>
      <w:r w:rsidR="00D87FB7">
        <w:rPr>
          <w:szCs w:val="28"/>
          <w:lang w:val="es-ES"/>
        </w:rPr>
        <w:t xml:space="preserve"> se relata la partición o distribución de bienes que no significó disolución y liquidación de sociedades, “</w:t>
      </w:r>
      <w:r w:rsidR="00D87FB7" w:rsidRPr="00EA36FF">
        <w:rPr>
          <w:i/>
          <w:szCs w:val="28"/>
          <w:lang w:val="es-ES"/>
        </w:rPr>
        <w:t>por cuanto el acto de disolución de las precitadas sociedades sólo procedía por las causales previstas en el artículo 218 del Código de Comercio e implicaba elevar a escritura pública por constituir una reforma estatutaria</w:t>
      </w:r>
      <w:r w:rsidR="00D87FB7">
        <w:rPr>
          <w:szCs w:val="28"/>
          <w:lang w:val="es-ES"/>
        </w:rPr>
        <w:t>” (f. 41), y es por ello que nunca las respectivas juntas de socios ordenaron disolución alguna ni menos se elevó a escritura pública esa decisión, instrumento público que brilla por su ausencia en el proceso. De todo lo cual arguye que resulta inaplicable el artículo 256 del Código de Comercio. En otras palabras, dice el recurrente que no existe prueba alguna de la disolución de la sociedad de hecho conformada entre Tamer Ltda. y Luis Fernando Mejía Otero por lo que no habiendo tal prueba “</w:t>
      </w:r>
      <w:r w:rsidR="008257D6" w:rsidRPr="00EA36FF">
        <w:rPr>
          <w:i/>
          <w:szCs w:val="28"/>
          <w:lang w:val="es-ES"/>
        </w:rPr>
        <w:t>ni habiéndose afirmado en la demanda que dicha sociedad de hecho había sido disuelta y liquidada en 1994</w:t>
      </w:r>
      <w:r w:rsidR="008257D6">
        <w:rPr>
          <w:szCs w:val="28"/>
          <w:lang w:val="es-ES"/>
        </w:rPr>
        <w:t>” resulta inaplicable del precepto mencionado.</w:t>
      </w:r>
    </w:p>
    <w:p w:rsidR="002D0D3B" w:rsidRPr="002D0D3B" w:rsidRDefault="002D0D3B" w:rsidP="002D0D3B">
      <w:pPr>
        <w:spacing w:after="120"/>
        <w:ind w:firstLine="709"/>
        <w:rPr>
          <w:szCs w:val="28"/>
          <w:lang w:val="es-ES"/>
        </w:rPr>
      </w:pPr>
    </w:p>
    <w:p w:rsidR="00194D3B" w:rsidRPr="005A5E60" w:rsidRDefault="00194D3B" w:rsidP="00194D3B">
      <w:pPr>
        <w:spacing w:after="120"/>
        <w:ind w:firstLine="709"/>
        <w:jc w:val="center"/>
        <w:rPr>
          <w:b/>
          <w:szCs w:val="28"/>
          <w:lang w:val="es-ES"/>
        </w:rPr>
      </w:pPr>
      <w:r w:rsidRPr="005A5E60">
        <w:rPr>
          <w:b/>
          <w:szCs w:val="28"/>
          <w:lang w:val="es-ES"/>
        </w:rPr>
        <w:t>CONSIDERACIONES</w:t>
      </w:r>
    </w:p>
    <w:p w:rsidR="00194D3B" w:rsidRDefault="00194D3B" w:rsidP="00194D3B">
      <w:pPr>
        <w:spacing w:after="120"/>
        <w:ind w:firstLine="709"/>
        <w:rPr>
          <w:szCs w:val="28"/>
          <w:lang w:val="es-ES"/>
        </w:rPr>
      </w:pPr>
    </w:p>
    <w:p w:rsidR="00D4620D" w:rsidRDefault="00820834" w:rsidP="00194D3B">
      <w:pPr>
        <w:spacing w:after="120"/>
        <w:ind w:firstLine="709"/>
        <w:rPr>
          <w:szCs w:val="28"/>
          <w:lang w:val="es-ES"/>
        </w:rPr>
      </w:pPr>
      <w:r>
        <w:rPr>
          <w:szCs w:val="28"/>
          <w:lang w:val="es-ES"/>
        </w:rPr>
        <w:t>A.</w:t>
      </w:r>
      <w:r>
        <w:rPr>
          <w:szCs w:val="28"/>
          <w:lang w:val="es-ES"/>
        </w:rPr>
        <w:tab/>
      </w:r>
      <w:r w:rsidR="00D4620D">
        <w:rPr>
          <w:szCs w:val="28"/>
          <w:lang w:val="es-ES"/>
        </w:rPr>
        <w:t>Aun cuando en la actual normatividad colombiana no puede sostenerse con carácter general y absoluto que la sociedad sea un contrato, pues la sociedad por acciones simplificada no lo necesita</w:t>
      </w:r>
      <w:r w:rsidR="00B60F69">
        <w:rPr>
          <w:szCs w:val="28"/>
          <w:lang w:val="es-ES"/>
        </w:rPr>
        <w:t xml:space="preserve"> </w:t>
      </w:r>
      <w:r w:rsidR="00DB6AF9">
        <w:rPr>
          <w:szCs w:val="28"/>
          <w:lang w:val="es-ES"/>
        </w:rPr>
        <w:t>dado que</w:t>
      </w:r>
      <w:r w:rsidR="00B60F69">
        <w:rPr>
          <w:szCs w:val="28"/>
          <w:lang w:val="es-ES"/>
        </w:rPr>
        <w:t xml:space="preserve"> puede ver la luz por disposición autónoma de </w:t>
      </w:r>
      <w:r w:rsidR="00F2738D">
        <w:rPr>
          <w:szCs w:val="28"/>
          <w:lang w:val="es-ES"/>
        </w:rPr>
        <w:t xml:space="preserve">una </w:t>
      </w:r>
      <w:r w:rsidR="00466218">
        <w:rPr>
          <w:szCs w:val="28"/>
          <w:lang w:val="es-ES"/>
        </w:rPr>
        <w:t>sola persona</w:t>
      </w:r>
      <w:r w:rsidR="00D4620D">
        <w:rPr>
          <w:szCs w:val="28"/>
          <w:lang w:val="es-ES"/>
        </w:rPr>
        <w:t xml:space="preserve">, en el asunto que concita la atención de la </w:t>
      </w:r>
      <w:r w:rsidR="00DB6AF9">
        <w:rPr>
          <w:szCs w:val="28"/>
          <w:lang w:val="es-ES"/>
        </w:rPr>
        <w:t>Sala</w:t>
      </w:r>
      <w:r w:rsidR="00D4620D">
        <w:rPr>
          <w:szCs w:val="28"/>
          <w:lang w:val="es-ES"/>
        </w:rPr>
        <w:t>, se arguye que entre varias personas jurídicas y naturales se constituyeron</w:t>
      </w:r>
      <w:r w:rsidR="001623B8">
        <w:rPr>
          <w:szCs w:val="28"/>
          <w:lang w:val="es-ES"/>
        </w:rPr>
        <w:t xml:space="preserve"> sociedades,</w:t>
      </w:r>
      <w:r w:rsidR="00D4620D">
        <w:rPr>
          <w:szCs w:val="28"/>
          <w:lang w:val="es-ES"/>
        </w:rPr>
        <w:t xml:space="preserve"> algunas regularmente y otras como de hecho</w:t>
      </w:r>
      <w:r w:rsidR="00466218">
        <w:rPr>
          <w:szCs w:val="28"/>
          <w:lang w:val="es-ES"/>
        </w:rPr>
        <w:t>, lo cual supone por consiguiente un acuerdo de voluntades entre ellas con aportes apreciables en dinero y con miras a repartirse las utilidades producto de la empresa social.</w:t>
      </w:r>
      <w:r w:rsidR="00EA36FF">
        <w:rPr>
          <w:szCs w:val="28"/>
          <w:lang w:val="es-ES"/>
        </w:rPr>
        <w:t xml:space="preserve"> </w:t>
      </w:r>
    </w:p>
    <w:p w:rsidR="00820834" w:rsidRDefault="00820834" w:rsidP="00194D3B">
      <w:pPr>
        <w:spacing w:after="120"/>
        <w:ind w:firstLine="709"/>
        <w:rPr>
          <w:szCs w:val="28"/>
          <w:lang w:val="es-ES"/>
        </w:rPr>
      </w:pPr>
    </w:p>
    <w:p w:rsidR="00AD57DA" w:rsidRDefault="00466218" w:rsidP="00194D3B">
      <w:pPr>
        <w:spacing w:after="120"/>
        <w:ind w:firstLine="709"/>
        <w:rPr>
          <w:szCs w:val="28"/>
          <w:lang w:val="es-ES"/>
        </w:rPr>
      </w:pPr>
      <w:r>
        <w:rPr>
          <w:szCs w:val="28"/>
          <w:lang w:val="es-ES"/>
        </w:rPr>
        <w:t xml:space="preserve">El asunto concreto se circunscribe a la sociedad de hecho que se alega fue conformada entre Luis Fernando Mejía Otero y la sociedad regular denominada Tamer Ltda., figura jurídica </w:t>
      </w:r>
      <w:r w:rsidR="00C35F7C">
        <w:rPr>
          <w:szCs w:val="28"/>
          <w:lang w:val="es-ES"/>
        </w:rPr>
        <w:t>a la que, por consiguiente, le es plenamente aplicable aún el artículo 98 del Código de Comercio, desde luego que esas dos personas hubieron de obligarse</w:t>
      </w:r>
      <w:r w:rsidR="00E5098F">
        <w:rPr>
          <w:szCs w:val="28"/>
          <w:lang w:val="es-ES"/>
        </w:rPr>
        <w:t>, de existir</w:t>
      </w:r>
      <w:r w:rsidR="000047C8">
        <w:rPr>
          <w:szCs w:val="28"/>
          <w:lang w:val="es-ES"/>
        </w:rPr>
        <w:t xml:space="preserve"> el trato</w:t>
      </w:r>
      <w:r w:rsidR="00E5098F">
        <w:rPr>
          <w:szCs w:val="28"/>
          <w:lang w:val="es-ES"/>
        </w:rPr>
        <w:t>,</w:t>
      </w:r>
      <w:r w:rsidR="00C35F7C">
        <w:rPr>
          <w:szCs w:val="28"/>
          <w:lang w:val="es-ES"/>
        </w:rPr>
        <w:t xml:space="preserve"> a hacer “</w:t>
      </w:r>
      <w:r w:rsidR="00C35F7C" w:rsidRPr="00477A80">
        <w:rPr>
          <w:i/>
          <w:szCs w:val="28"/>
          <w:lang w:val="es-ES"/>
        </w:rPr>
        <w:t>un aporte en dinero, en trabajo o en otros bienes apreciables en dinero, con el fin de repartirse entre s</w:t>
      </w:r>
      <w:r w:rsidR="00EA36FF">
        <w:rPr>
          <w:i/>
          <w:szCs w:val="28"/>
          <w:lang w:val="es-ES"/>
        </w:rPr>
        <w:t>í</w:t>
      </w:r>
      <w:r w:rsidR="00C35F7C" w:rsidRPr="00477A80">
        <w:rPr>
          <w:i/>
          <w:szCs w:val="28"/>
          <w:lang w:val="es-ES"/>
        </w:rPr>
        <w:t xml:space="preserve"> las utilidades obtenidas en la empresa o actividad social</w:t>
      </w:r>
      <w:r w:rsidR="00C35F7C">
        <w:rPr>
          <w:szCs w:val="28"/>
          <w:lang w:val="es-ES"/>
        </w:rPr>
        <w:t>”, sólo que</w:t>
      </w:r>
      <w:r w:rsidR="00317F3D">
        <w:rPr>
          <w:szCs w:val="28"/>
          <w:lang w:val="es-ES"/>
        </w:rPr>
        <w:t xml:space="preserve"> las reglas que habrían de regular esa asociación no quedaron vertidas en escritura pública</w:t>
      </w:r>
      <w:r w:rsidR="00E5098F">
        <w:rPr>
          <w:szCs w:val="28"/>
          <w:lang w:val="es-ES"/>
        </w:rPr>
        <w:t xml:space="preserve"> ni menos hubo inscripción de tal instrumento en el registro mercantil de la Cámara de Comercio</w:t>
      </w:r>
      <w:r w:rsidR="000D1CA1">
        <w:rPr>
          <w:szCs w:val="28"/>
          <w:lang w:val="es-ES"/>
        </w:rPr>
        <w:t xml:space="preserve"> (en cuyo caso son los socios de hecho los que, como comerciantes, se matriculan) </w:t>
      </w:r>
      <w:r w:rsidR="00E5098F">
        <w:rPr>
          <w:szCs w:val="28"/>
          <w:lang w:val="es-ES"/>
        </w:rPr>
        <w:t xml:space="preserve"> correspondiente al lugar de</w:t>
      </w:r>
      <w:r w:rsidR="000047C8">
        <w:rPr>
          <w:szCs w:val="28"/>
          <w:lang w:val="es-ES"/>
        </w:rPr>
        <w:t xml:space="preserve">l </w:t>
      </w:r>
      <w:r w:rsidR="00E5098F">
        <w:rPr>
          <w:szCs w:val="28"/>
          <w:lang w:val="es-ES"/>
        </w:rPr>
        <w:t>domicilio</w:t>
      </w:r>
      <w:r w:rsidR="00A149A2">
        <w:rPr>
          <w:szCs w:val="28"/>
          <w:lang w:val="es-ES"/>
        </w:rPr>
        <w:t xml:space="preserve"> societario</w:t>
      </w:r>
      <w:r w:rsidR="00E5098F">
        <w:rPr>
          <w:szCs w:val="28"/>
          <w:lang w:val="es-ES"/>
        </w:rPr>
        <w:t xml:space="preserve">. </w:t>
      </w:r>
      <w:r w:rsidR="00B60F69">
        <w:rPr>
          <w:szCs w:val="28"/>
          <w:lang w:val="es-ES"/>
        </w:rPr>
        <w:t xml:space="preserve">Bien pudo corresponder a un acuerdo consensual, o </w:t>
      </w:r>
      <w:r w:rsidR="00E137BB">
        <w:rPr>
          <w:szCs w:val="28"/>
          <w:lang w:val="es-ES"/>
        </w:rPr>
        <w:t xml:space="preserve">plasmado </w:t>
      </w:r>
      <w:r w:rsidR="00B60F69">
        <w:rPr>
          <w:szCs w:val="28"/>
          <w:lang w:val="es-ES"/>
        </w:rPr>
        <w:t>en escrito privado o, en fin</w:t>
      </w:r>
      <w:r w:rsidR="000047C8">
        <w:rPr>
          <w:szCs w:val="28"/>
          <w:lang w:val="es-ES"/>
        </w:rPr>
        <w:t>,</w:t>
      </w:r>
      <w:r w:rsidR="00B60F69">
        <w:rPr>
          <w:szCs w:val="28"/>
          <w:lang w:val="es-ES"/>
        </w:rPr>
        <w:t xml:space="preserve"> ser el resultado </w:t>
      </w:r>
      <w:r w:rsidR="00C46A7F">
        <w:rPr>
          <w:szCs w:val="28"/>
          <w:lang w:val="es-ES"/>
        </w:rPr>
        <w:t>de los hechos</w:t>
      </w:r>
      <w:r w:rsidR="00477A80">
        <w:rPr>
          <w:szCs w:val="28"/>
          <w:lang w:val="es-ES"/>
        </w:rPr>
        <w:t xml:space="preserve"> que denota</w:t>
      </w:r>
      <w:r w:rsidR="00AD57DA">
        <w:rPr>
          <w:szCs w:val="28"/>
          <w:lang w:val="es-ES"/>
        </w:rPr>
        <w:t>ran</w:t>
      </w:r>
      <w:r w:rsidR="00477A80">
        <w:rPr>
          <w:szCs w:val="28"/>
          <w:lang w:val="es-ES"/>
        </w:rPr>
        <w:t xml:space="preserve"> una relación jurídica </w:t>
      </w:r>
      <w:r w:rsidR="00874BF5">
        <w:rPr>
          <w:szCs w:val="28"/>
          <w:lang w:val="es-ES"/>
        </w:rPr>
        <w:t xml:space="preserve">sucesiva y </w:t>
      </w:r>
      <w:r w:rsidR="00477A80">
        <w:rPr>
          <w:szCs w:val="28"/>
          <w:lang w:val="es-ES"/>
        </w:rPr>
        <w:t>consentida</w:t>
      </w:r>
      <w:r w:rsidR="00F2738D">
        <w:rPr>
          <w:szCs w:val="28"/>
          <w:lang w:val="es-ES"/>
        </w:rPr>
        <w:t xml:space="preserve">, </w:t>
      </w:r>
      <w:r w:rsidR="00AD57DA">
        <w:rPr>
          <w:szCs w:val="28"/>
          <w:lang w:val="es-ES"/>
        </w:rPr>
        <w:t xml:space="preserve">puesto </w:t>
      </w:r>
      <w:r w:rsidR="00F2738D">
        <w:rPr>
          <w:szCs w:val="28"/>
          <w:lang w:val="es-ES"/>
        </w:rPr>
        <w:t>que de todas estas formas puede aflorar</w:t>
      </w:r>
      <w:r w:rsidR="004C4BF1">
        <w:rPr>
          <w:szCs w:val="28"/>
          <w:lang w:val="es-ES"/>
        </w:rPr>
        <w:t xml:space="preserve"> ese tipo anómalo societario</w:t>
      </w:r>
      <w:r w:rsidR="005917C2">
        <w:rPr>
          <w:szCs w:val="28"/>
          <w:lang w:val="es-ES"/>
        </w:rPr>
        <w:t>, recurso de aplicación frecuente en el ámbito civil y comercial.</w:t>
      </w:r>
      <w:r w:rsidR="00C46A7F">
        <w:rPr>
          <w:szCs w:val="28"/>
          <w:lang w:val="es-ES"/>
        </w:rPr>
        <w:t xml:space="preserve"> </w:t>
      </w:r>
    </w:p>
    <w:p w:rsidR="00AD57DA" w:rsidRDefault="00AD57DA" w:rsidP="00194D3B">
      <w:pPr>
        <w:spacing w:after="120"/>
        <w:ind w:firstLine="709"/>
        <w:rPr>
          <w:szCs w:val="28"/>
          <w:lang w:val="es-ES"/>
        </w:rPr>
      </w:pPr>
    </w:p>
    <w:p w:rsidR="00466218" w:rsidRDefault="00E5098F" w:rsidP="00194D3B">
      <w:pPr>
        <w:spacing w:after="120"/>
        <w:ind w:firstLine="709"/>
        <w:rPr>
          <w:szCs w:val="28"/>
          <w:lang w:val="es-ES"/>
        </w:rPr>
      </w:pPr>
      <w:r>
        <w:rPr>
          <w:szCs w:val="28"/>
          <w:lang w:val="es-ES"/>
        </w:rPr>
        <w:t xml:space="preserve">De allí la </w:t>
      </w:r>
      <w:r w:rsidR="00021737">
        <w:rPr>
          <w:szCs w:val="28"/>
          <w:lang w:val="es-ES"/>
        </w:rPr>
        <w:t xml:space="preserve">calificación de </w:t>
      </w:r>
      <w:r w:rsidRPr="00021737">
        <w:rPr>
          <w:szCs w:val="28"/>
          <w:lang w:val="es-ES"/>
        </w:rPr>
        <w:t>sociedad</w:t>
      </w:r>
      <w:r w:rsidRPr="000047C8">
        <w:rPr>
          <w:i/>
          <w:szCs w:val="28"/>
          <w:lang w:val="es-ES"/>
        </w:rPr>
        <w:t xml:space="preserve"> de hecho </w:t>
      </w:r>
      <w:r w:rsidR="00AD57DA">
        <w:rPr>
          <w:szCs w:val="28"/>
          <w:lang w:val="es-ES"/>
        </w:rPr>
        <w:t xml:space="preserve">que por supuesto no es ilegal </w:t>
      </w:r>
      <w:r>
        <w:rPr>
          <w:szCs w:val="28"/>
          <w:lang w:val="es-ES"/>
        </w:rPr>
        <w:t>por</w:t>
      </w:r>
      <w:r w:rsidR="004C4BF1">
        <w:rPr>
          <w:szCs w:val="28"/>
          <w:lang w:val="es-ES"/>
        </w:rPr>
        <w:t xml:space="preserve">que se hubiesen </w:t>
      </w:r>
      <w:r w:rsidR="000047C8">
        <w:rPr>
          <w:szCs w:val="28"/>
          <w:lang w:val="es-ES"/>
        </w:rPr>
        <w:t>omiti</w:t>
      </w:r>
      <w:r w:rsidR="004C4BF1">
        <w:rPr>
          <w:szCs w:val="28"/>
          <w:lang w:val="es-ES"/>
        </w:rPr>
        <w:t xml:space="preserve">do </w:t>
      </w:r>
      <w:r w:rsidR="000047C8">
        <w:rPr>
          <w:szCs w:val="28"/>
          <w:lang w:val="es-ES"/>
        </w:rPr>
        <w:t>las formalidades anotadas</w:t>
      </w:r>
      <w:r w:rsidR="007C369F">
        <w:rPr>
          <w:szCs w:val="28"/>
          <w:lang w:val="es-ES"/>
        </w:rPr>
        <w:t xml:space="preserve">, ni puede predicarse que </w:t>
      </w:r>
      <w:r w:rsidR="004C4BF1">
        <w:rPr>
          <w:szCs w:val="28"/>
          <w:lang w:val="es-ES"/>
        </w:rPr>
        <w:t xml:space="preserve">esté incursa en </w:t>
      </w:r>
      <w:r w:rsidR="007C369F">
        <w:rPr>
          <w:szCs w:val="28"/>
          <w:lang w:val="es-ES"/>
        </w:rPr>
        <w:t>nulidad o ineficacia alguna</w:t>
      </w:r>
      <w:r w:rsidR="004C4BF1">
        <w:rPr>
          <w:szCs w:val="28"/>
          <w:lang w:val="es-ES"/>
        </w:rPr>
        <w:t xml:space="preserve"> por esa omisión</w:t>
      </w:r>
      <w:r w:rsidR="007C369F">
        <w:rPr>
          <w:szCs w:val="28"/>
          <w:lang w:val="es-ES"/>
        </w:rPr>
        <w:t xml:space="preserve">. Se trata, como se anticipó, de un acuerdo </w:t>
      </w:r>
      <w:r w:rsidR="00477A80">
        <w:rPr>
          <w:szCs w:val="28"/>
          <w:lang w:val="es-ES"/>
        </w:rPr>
        <w:t xml:space="preserve">consensual </w:t>
      </w:r>
      <w:r w:rsidR="007C369F">
        <w:rPr>
          <w:szCs w:val="28"/>
          <w:lang w:val="es-ES"/>
        </w:rPr>
        <w:t>de cooperación</w:t>
      </w:r>
      <w:r w:rsidR="00503B6C">
        <w:rPr>
          <w:szCs w:val="28"/>
          <w:lang w:val="es-ES"/>
        </w:rPr>
        <w:t xml:space="preserve">, cuyos extremos regulatorios surten efectos entre los asociados (último inciso del artículo 499 del Código de Comercio) quienes responden solidaria </w:t>
      </w:r>
      <w:r w:rsidR="00A149A2">
        <w:rPr>
          <w:szCs w:val="28"/>
          <w:lang w:val="es-ES"/>
        </w:rPr>
        <w:t xml:space="preserve">e </w:t>
      </w:r>
      <w:r w:rsidR="00503B6C">
        <w:rPr>
          <w:szCs w:val="28"/>
          <w:lang w:val="es-ES"/>
        </w:rPr>
        <w:t>ilimitadamente por las operaciones celebradas y por eso, la protección legal de la misma es incipiente, desde luego que</w:t>
      </w:r>
      <w:r w:rsidR="00897647">
        <w:rPr>
          <w:szCs w:val="28"/>
          <w:lang w:val="es-ES"/>
        </w:rPr>
        <w:t xml:space="preserve"> se faculta a cada asociado para pedir en cualquier tiempo que se haga su liquidación </w:t>
      </w:r>
      <w:r w:rsidR="00897647" w:rsidRPr="00897647">
        <w:rPr>
          <w:i/>
          <w:szCs w:val="28"/>
          <w:lang w:val="es-ES"/>
        </w:rPr>
        <w:t>y a que se liquide y pague su participación en ella y los demás asociados están obligados a proceder a dicha liquidación</w:t>
      </w:r>
      <w:r w:rsidR="00897647">
        <w:rPr>
          <w:szCs w:val="28"/>
          <w:lang w:val="es-ES"/>
        </w:rPr>
        <w:t xml:space="preserve"> (artículo 505 ib.).</w:t>
      </w:r>
    </w:p>
    <w:p w:rsidR="00897647" w:rsidRDefault="00897647" w:rsidP="00194D3B">
      <w:pPr>
        <w:spacing w:after="120"/>
        <w:ind w:firstLine="709"/>
        <w:rPr>
          <w:szCs w:val="28"/>
          <w:lang w:val="es-ES"/>
        </w:rPr>
      </w:pPr>
    </w:p>
    <w:p w:rsidR="00897647" w:rsidRDefault="00477A80" w:rsidP="00897647">
      <w:pPr>
        <w:spacing w:after="120"/>
        <w:ind w:firstLine="709"/>
        <w:rPr>
          <w:szCs w:val="28"/>
          <w:lang w:val="es-ES"/>
        </w:rPr>
      </w:pPr>
      <w:r>
        <w:rPr>
          <w:szCs w:val="28"/>
          <w:lang w:val="es-ES"/>
        </w:rPr>
        <w:t xml:space="preserve">Si </w:t>
      </w:r>
      <w:r w:rsidR="00897647">
        <w:rPr>
          <w:szCs w:val="28"/>
          <w:lang w:val="es-ES"/>
        </w:rPr>
        <w:t>las ritualidades que con ocasión de su constitución no se</w:t>
      </w:r>
      <w:r w:rsidR="00A149A2" w:rsidRPr="00A149A2">
        <w:rPr>
          <w:szCs w:val="28"/>
          <w:lang w:val="es-ES"/>
        </w:rPr>
        <w:t xml:space="preserve"> </w:t>
      </w:r>
      <w:r w:rsidR="00A149A2">
        <w:rPr>
          <w:szCs w:val="28"/>
          <w:lang w:val="es-ES"/>
        </w:rPr>
        <w:t>respetaron</w:t>
      </w:r>
      <w:r w:rsidR="00C46A7F">
        <w:rPr>
          <w:szCs w:val="28"/>
          <w:lang w:val="es-ES"/>
        </w:rPr>
        <w:t>, ni tenían porqué</w:t>
      </w:r>
      <w:r>
        <w:rPr>
          <w:szCs w:val="28"/>
          <w:lang w:val="es-ES"/>
        </w:rPr>
        <w:t xml:space="preserve"> observarse </w:t>
      </w:r>
      <w:r w:rsidR="00C46A7F">
        <w:rPr>
          <w:szCs w:val="28"/>
          <w:lang w:val="es-ES"/>
        </w:rPr>
        <w:t>si las partes tan sólo querían</w:t>
      </w:r>
      <w:r w:rsidR="00874BF5">
        <w:rPr>
          <w:szCs w:val="28"/>
          <w:lang w:val="es-ES"/>
        </w:rPr>
        <w:t xml:space="preserve"> establecer un vínculo de hecho y finalmente no son causa de ineficacia contractual,</w:t>
      </w:r>
      <w:r w:rsidR="00897647">
        <w:rPr>
          <w:szCs w:val="28"/>
          <w:lang w:val="es-ES"/>
        </w:rPr>
        <w:t xml:space="preserve"> tampoco es menester que se cumplan al momento de la disolución y liquidación. </w:t>
      </w:r>
      <w:r w:rsidR="00901A6F">
        <w:rPr>
          <w:szCs w:val="28"/>
          <w:lang w:val="es-ES"/>
        </w:rPr>
        <w:t xml:space="preserve">En lo tocante a la disolución, visto está que la misma procede con la sola voluntad </w:t>
      </w:r>
      <w:r w:rsidR="000047C8">
        <w:rPr>
          <w:szCs w:val="28"/>
          <w:lang w:val="es-ES"/>
        </w:rPr>
        <w:t xml:space="preserve">explicitada </w:t>
      </w:r>
      <w:r w:rsidR="00901A6F">
        <w:rPr>
          <w:szCs w:val="28"/>
          <w:lang w:val="es-ES"/>
        </w:rPr>
        <w:t>de uno de los socios</w:t>
      </w:r>
      <w:r w:rsidR="00544093">
        <w:rPr>
          <w:szCs w:val="28"/>
          <w:lang w:val="es-ES"/>
        </w:rPr>
        <w:t xml:space="preserve"> (pretensión </w:t>
      </w:r>
      <w:r w:rsidR="001F4D54">
        <w:rPr>
          <w:szCs w:val="28"/>
          <w:lang w:val="es-ES"/>
        </w:rPr>
        <w:t xml:space="preserve">que de </w:t>
      </w:r>
      <w:r w:rsidR="00AD57DA">
        <w:rPr>
          <w:szCs w:val="28"/>
          <w:lang w:val="es-ES"/>
        </w:rPr>
        <w:t xml:space="preserve">tener que </w:t>
      </w:r>
      <w:r w:rsidR="001F4D54">
        <w:rPr>
          <w:szCs w:val="28"/>
          <w:lang w:val="es-ES"/>
        </w:rPr>
        <w:t xml:space="preserve">elevarse a la justicia, encuentra su cauce en </w:t>
      </w:r>
      <w:r w:rsidR="00544093">
        <w:rPr>
          <w:szCs w:val="28"/>
          <w:lang w:val="es-ES"/>
        </w:rPr>
        <w:t xml:space="preserve">el artículo 627 del Código de </w:t>
      </w:r>
      <w:r w:rsidR="001F4D54">
        <w:rPr>
          <w:szCs w:val="28"/>
          <w:lang w:val="es-ES"/>
        </w:rPr>
        <w:t xml:space="preserve">Procedimiento </w:t>
      </w:r>
      <w:r w:rsidR="00544093">
        <w:rPr>
          <w:szCs w:val="28"/>
          <w:lang w:val="es-ES"/>
        </w:rPr>
        <w:t>Civil</w:t>
      </w:r>
      <w:r w:rsidR="00544093">
        <w:rPr>
          <w:rStyle w:val="Refdenotaalpie"/>
          <w:szCs w:val="28"/>
          <w:lang w:val="es-ES"/>
        </w:rPr>
        <w:footnoteReference w:id="1"/>
      </w:r>
      <w:r w:rsidR="00544093">
        <w:rPr>
          <w:szCs w:val="28"/>
          <w:lang w:val="es-ES"/>
        </w:rPr>
        <w:t>)</w:t>
      </w:r>
      <w:r w:rsidR="00C675BD">
        <w:rPr>
          <w:szCs w:val="28"/>
          <w:lang w:val="es-ES"/>
        </w:rPr>
        <w:t>, l</w:t>
      </w:r>
      <w:r w:rsidR="00874BF5">
        <w:rPr>
          <w:szCs w:val="28"/>
          <w:lang w:val="es-ES"/>
        </w:rPr>
        <w:t xml:space="preserve">o cual excluye que sea la junta, asamblea o </w:t>
      </w:r>
      <w:r w:rsidR="00C675BD">
        <w:rPr>
          <w:szCs w:val="28"/>
          <w:lang w:val="es-ES"/>
        </w:rPr>
        <w:t>el órgano colegiado máximo el que</w:t>
      </w:r>
      <w:r w:rsidR="000D4B69">
        <w:rPr>
          <w:szCs w:val="28"/>
          <w:lang w:val="es-ES"/>
        </w:rPr>
        <w:t xml:space="preserve"> deba</w:t>
      </w:r>
      <w:r w:rsidR="00C675BD">
        <w:rPr>
          <w:szCs w:val="28"/>
          <w:lang w:val="es-ES"/>
        </w:rPr>
        <w:t xml:space="preserve"> </w:t>
      </w:r>
      <w:r w:rsidR="00021737">
        <w:rPr>
          <w:szCs w:val="28"/>
          <w:lang w:val="es-ES"/>
        </w:rPr>
        <w:t xml:space="preserve">adoptar </w:t>
      </w:r>
      <w:r w:rsidR="00C675BD">
        <w:rPr>
          <w:szCs w:val="28"/>
          <w:lang w:val="es-ES"/>
        </w:rPr>
        <w:t xml:space="preserve">la decisión </w:t>
      </w:r>
      <w:r w:rsidR="00874BF5">
        <w:rPr>
          <w:szCs w:val="28"/>
          <w:lang w:val="es-ES"/>
        </w:rPr>
        <w:t xml:space="preserve">con el quórum y las mayorías requeridas </w:t>
      </w:r>
      <w:r w:rsidR="000D4B69">
        <w:rPr>
          <w:szCs w:val="28"/>
          <w:lang w:val="es-ES"/>
        </w:rPr>
        <w:t>y</w:t>
      </w:r>
      <w:r w:rsidR="00C675BD">
        <w:rPr>
          <w:szCs w:val="28"/>
          <w:lang w:val="es-ES"/>
        </w:rPr>
        <w:t xml:space="preserve"> declar</w:t>
      </w:r>
      <w:r w:rsidR="000D4B69">
        <w:rPr>
          <w:szCs w:val="28"/>
          <w:lang w:val="es-ES"/>
        </w:rPr>
        <w:t>ar</w:t>
      </w:r>
      <w:r w:rsidR="00C675BD">
        <w:rPr>
          <w:szCs w:val="28"/>
          <w:lang w:val="es-ES"/>
        </w:rPr>
        <w:t xml:space="preserve"> la </w:t>
      </w:r>
      <w:r w:rsidR="00874BF5">
        <w:rPr>
          <w:szCs w:val="28"/>
          <w:lang w:val="es-ES"/>
        </w:rPr>
        <w:t>disolución</w:t>
      </w:r>
      <w:r w:rsidR="00021737">
        <w:rPr>
          <w:szCs w:val="28"/>
          <w:lang w:val="es-ES"/>
        </w:rPr>
        <w:t>, aun cuando en el marco del acuerdo celebrado tal reunión societaria se lleve a cabo</w:t>
      </w:r>
      <w:r w:rsidR="00874BF5">
        <w:rPr>
          <w:szCs w:val="28"/>
          <w:lang w:val="es-ES"/>
        </w:rPr>
        <w:t xml:space="preserve">. </w:t>
      </w:r>
      <w:r w:rsidR="000D4B69">
        <w:rPr>
          <w:szCs w:val="28"/>
          <w:lang w:val="es-ES"/>
        </w:rPr>
        <w:t>P</w:t>
      </w:r>
      <w:r w:rsidR="00C675BD">
        <w:rPr>
          <w:szCs w:val="28"/>
          <w:lang w:val="es-ES"/>
        </w:rPr>
        <w:t xml:space="preserve">or supuesto, está fuera de lugar considerar que tal decisión deba ser elevada </w:t>
      </w:r>
      <w:r w:rsidR="00A149A2">
        <w:rPr>
          <w:szCs w:val="28"/>
          <w:lang w:val="es-ES"/>
        </w:rPr>
        <w:t xml:space="preserve">a </w:t>
      </w:r>
      <w:r w:rsidR="00C675BD">
        <w:rPr>
          <w:szCs w:val="28"/>
          <w:lang w:val="es-ES"/>
        </w:rPr>
        <w:t>escritura pública e inscribirse en el registro mercantil.</w:t>
      </w:r>
      <w:r w:rsidR="00901A6F">
        <w:rPr>
          <w:szCs w:val="28"/>
          <w:lang w:val="es-ES"/>
        </w:rPr>
        <w:t xml:space="preserve"> Y en lo que hace a la liquidación, la legislación comercial remite su trámite a lo previsto </w:t>
      </w:r>
      <w:r w:rsidR="00897647">
        <w:rPr>
          <w:szCs w:val="28"/>
          <w:lang w:val="es-ES"/>
        </w:rPr>
        <w:t xml:space="preserve">en los artículos 218 y siguientes, pero </w:t>
      </w:r>
      <w:r w:rsidR="00897647" w:rsidRPr="00A149A2">
        <w:rPr>
          <w:i/>
          <w:szCs w:val="28"/>
          <w:lang w:val="es-ES"/>
        </w:rPr>
        <w:t>en lo pertinente</w:t>
      </w:r>
      <w:r w:rsidR="00897647">
        <w:rPr>
          <w:szCs w:val="28"/>
          <w:lang w:val="es-ES"/>
        </w:rPr>
        <w:t xml:space="preserve"> y en cuanto a los </w:t>
      </w:r>
      <w:r w:rsidR="00897647" w:rsidRPr="00A149A2">
        <w:rPr>
          <w:i/>
          <w:szCs w:val="28"/>
          <w:lang w:val="es-ES"/>
        </w:rPr>
        <w:t>principios</w:t>
      </w:r>
      <w:r w:rsidR="00E137BB">
        <w:rPr>
          <w:szCs w:val="28"/>
          <w:lang w:val="es-ES"/>
        </w:rPr>
        <w:t>.</w:t>
      </w:r>
      <w:r w:rsidR="00897647">
        <w:rPr>
          <w:szCs w:val="28"/>
          <w:lang w:val="es-ES"/>
        </w:rPr>
        <w:t xml:space="preserve"> </w:t>
      </w:r>
      <w:r w:rsidR="00021737">
        <w:rPr>
          <w:szCs w:val="28"/>
          <w:lang w:val="es-ES"/>
        </w:rPr>
        <w:t>A</w:t>
      </w:r>
      <w:r w:rsidR="00897647">
        <w:rPr>
          <w:szCs w:val="28"/>
          <w:lang w:val="es-ES"/>
        </w:rPr>
        <w:t xml:space="preserve"> eso</w:t>
      </w:r>
      <w:r w:rsidR="00021737">
        <w:rPr>
          <w:szCs w:val="28"/>
          <w:lang w:val="es-ES"/>
        </w:rPr>
        <w:t xml:space="preserve"> </w:t>
      </w:r>
      <w:r w:rsidR="00897647">
        <w:rPr>
          <w:szCs w:val="28"/>
          <w:lang w:val="es-ES"/>
        </w:rPr>
        <w:t>se refiere la Corte cuando, en añeja jurisprudencia, dijo:</w:t>
      </w:r>
    </w:p>
    <w:p w:rsidR="00897647" w:rsidRDefault="00897647" w:rsidP="00897647">
      <w:pPr>
        <w:spacing w:after="120"/>
        <w:ind w:firstLine="709"/>
        <w:rPr>
          <w:szCs w:val="28"/>
          <w:lang w:val="es-ES"/>
        </w:rPr>
      </w:pPr>
    </w:p>
    <w:p w:rsidR="00897647" w:rsidRDefault="00897647" w:rsidP="00C46A7F">
      <w:pPr>
        <w:spacing w:after="120"/>
        <w:ind w:left="709"/>
        <w:rPr>
          <w:szCs w:val="28"/>
          <w:lang w:val="es-ES"/>
        </w:rPr>
      </w:pPr>
      <w:r w:rsidRPr="0083525C">
        <w:rPr>
          <w:i/>
          <w:sz w:val="24"/>
          <w:szCs w:val="24"/>
          <w:lang w:val="es-ES"/>
        </w:rPr>
        <w:t xml:space="preserve">"Para efecto de establecerse la regulación pertinente a la existencia y disolución de una sociedad de hecho deben tenerse presente </w:t>
      </w:r>
      <w:r w:rsidRPr="007471C8">
        <w:rPr>
          <w:i/>
          <w:sz w:val="24"/>
          <w:szCs w:val="24"/>
          <w:u w:val="single"/>
          <w:lang w:val="es-ES"/>
        </w:rPr>
        <w:t>las normas especiales pertinentes, más no las generales relativas a las sociedades constituidas como personas jurídicas</w:t>
      </w:r>
      <w:r w:rsidRPr="0083525C">
        <w:rPr>
          <w:i/>
          <w:sz w:val="24"/>
          <w:szCs w:val="24"/>
          <w:lang w:val="es-ES"/>
        </w:rPr>
        <w:t xml:space="preserve">, bien sea regulares o irregulares. Pues mientras éstas últimas, tienen una vida como contrato social, gozan de personalidad jurídica y pueden tener, en el caso de las regulares un funcionamiento normal conforme a sus estatutos y a la ley; las otras, las llamadas sociedades de hecho propiamente dichas, por el contrario, por no ajustarse a los requerimientos mínimos que indica el ordenamiento estatal, carecen de una vida como personas jurídicas y deben desaparecer del mundo jurídico, cuando quiera que, por su estado permanente de disolución, los interesados pidan su liquidación..."  </w:t>
      </w:r>
      <w:r w:rsidR="007471C8">
        <w:rPr>
          <w:szCs w:val="28"/>
          <w:lang w:val="es-ES"/>
        </w:rPr>
        <w:t xml:space="preserve">(SC </w:t>
      </w:r>
      <w:r w:rsidRPr="007471C8">
        <w:rPr>
          <w:szCs w:val="28"/>
          <w:lang w:val="es-ES"/>
        </w:rPr>
        <w:t xml:space="preserve">8 de jun 1994, citada en SC-042-1998 </w:t>
      </w:r>
      <w:r w:rsidR="007471C8">
        <w:rPr>
          <w:szCs w:val="28"/>
          <w:lang w:val="es-ES"/>
        </w:rPr>
        <w:t xml:space="preserve"> 3</w:t>
      </w:r>
      <w:r w:rsidRPr="007471C8">
        <w:rPr>
          <w:szCs w:val="28"/>
          <w:lang w:val="es-ES"/>
        </w:rPr>
        <w:t xml:space="preserve"> jun 3 1998, rad. n°. 5109</w:t>
      </w:r>
      <w:r w:rsidR="007471C8" w:rsidRPr="007471C8">
        <w:rPr>
          <w:szCs w:val="28"/>
          <w:lang w:val="es-ES"/>
        </w:rPr>
        <w:t>. Las subrayas no son del original</w:t>
      </w:r>
      <w:r w:rsidRPr="007471C8">
        <w:rPr>
          <w:szCs w:val="28"/>
          <w:lang w:val="es-ES"/>
        </w:rPr>
        <w:t>)</w:t>
      </w:r>
      <w:r w:rsidR="001F4D54">
        <w:rPr>
          <w:szCs w:val="28"/>
          <w:lang w:val="es-ES"/>
        </w:rPr>
        <w:t>.</w:t>
      </w:r>
    </w:p>
    <w:p w:rsidR="00C7047B" w:rsidRDefault="00C7047B" w:rsidP="00C46A7F">
      <w:pPr>
        <w:spacing w:after="120"/>
        <w:ind w:left="709"/>
        <w:rPr>
          <w:sz w:val="24"/>
          <w:szCs w:val="28"/>
          <w:lang w:val="es-ES"/>
        </w:rPr>
      </w:pPr>
    </w:p>
    <w:p w:rsidR="005A271A" w:rsidRDefault="000D4B69" w:rsidP="00C7047B">
      <w:pPr>
        <w:spacing w:after="120"/>
        <w:ind w:firstLine="709"/>
        <w:rPr>
          <w:szCs w:val="28"/>
          <w:lang w:val="es-ES"/>
        </w:rPr>
      </w:pPr>
      <w:r>
        <w:rPr>
          <w:szCs w:val="28"/>
          <w:lang w:val="es-ES"/>
        </w:rPr>
        <w:t xml:space="preserve">Ahora bien, </w:t>
      </w:r>
      <w:r w:rsidR="002C4457" w:rsidRPr="00C7047B">
        <w:rPr>
          <w:szCs w:val="28"/>
          <w:lang w:val="es-ES"/>
        </w:rPr>
        <w:t xml:space="preserve">ese </w:t>
      </w:r>
      <w:r w:rsidR="002C4457" w:rsidRPr="00C7047B">
        <w:rPr>
          <w:i/>
          <w:szCs w:val="28"/>
          <w:lang w:val="es-ES"/>
        </w:rPr>
        <w:t xml:space="preserve">estado </w:t>
      </w:r>
      <w:r w:rsidR="001F4D54" w:rsidRPr="00C7047B">
        <w:rPr>
          <w:i/>
          <w:szCs w:val="28"/>
          <w:lang w:val="es-ES"/>
        </w:rPr>
        <w:t>permanente de disolución</w:t>
      </w:r>
      <w:r w:rsidR="001F4D54" w:rsidRPr="00C7047B">
        <w:rPr>
          <w:szCs w:val="28"/>
          <w:lang w:val="es-ES"/>
        </w:rPr>
        <w:t xml:space="preserve"> no</w:t>
      </w:r>
      <w:r w:rsidR="00ED1105">
        <w:rPr>
          <w:szCs w:val="28"/>
          <w:lang w:val="es-ES"/>
        </w:rPr>
        <w:t xml:space="preserve"> debe entenderse en forma literal y por ello, no</w:t>
      </w:r>
      <w:r w:rsidR="001F4D54" w:rsidRPr="00C7047B">
        <w:rPr>
          <w:szCs w:val="28"/>
          <w:lang w:val="es-ES"/>
        </w:rPr>
        <w:t xml:space="preserve"> significa que</w:t>
      </w:r>
      <w:r w:rsidR="00C7047B">
        <w:rPr>
          <w:szCs w:val="28"/>
          <w:lang w:val="es-ES"/>
        </w:rPr>
        <w:t xml:space="preserve"> entre los socios quede como letra muerta lo que acordaron, porque entre ellos tales estipulaciones producen efectos (artículo 499) a tal punto que la administración de esa empresa social se debe desarrollar según lo</w:t>
      </w:r>
      <w:r w:rsidR="008C4764">
        <w:rPr>
          <w:szCs w:val="28"/>
          <w:lang w:val="es-ES"/>
        </w:rPr>
        <w:t xml:space="preserve"> que hayan estipulado (artículo 503). </w:t>
      </w:r>
    </w:p>
    <w:p w:rsidR="005A271A" w:rsidRDefault="005A271A" w:rsidP="00C7047B">
      <w:pPr>
        <w:spacing w:after="120"/>
        <w:ind w:firstLine="709"/>
        <w:rPr>
          <w:szCs w:val="28"/>
          <w:lang w:val="es-ES"/>
        </w:rPr>
      </w:pPr>
    </w:p>
    <w:p w:rsidR="000376ED" w:rsidRDefault="005A271A" w:rsidP="00C7047B">
      <w:pPr>
        <w:spacing w:after="120"/>
        <w:ind w:firstLine="709"/>
        <w:rPr>
          <w:szCs w:val="28"/>
          <w:lang w:val="es-ES"/>
        </w:rPr>
      </w:pPr>
      <w:r>
        <w:rPr>
          <w:szCs w:val="28"/>
          <w:lang w:val="es-ES"/>
        </w:rPr>
        <w:t xml:space="preserve">Con todo, de haber discrepancias entre </w:t>
      </w:r>
      <w:r w:rsidR="00ED1105">
        <w:rPr>
          <w:szCs w:val="28"/>
          <w:lang w:val="es-ES"/>
        </w:rPr>
        <w:t>los asociados</w:t>
      </w:r>
      <w:r>
        <w:rPr>
          <w:szCs w:val="28"/>
          <w:lang w:val="es-ES"/>
        </w:rPr>
        <w:t>, por razón de</w:t>
      </w:r>
      <w:r w:rsidR="00ED1105">
        <w:rPr>
          <w:szCs w:val="28"/>
          <w:lang w:val="es-ES"/>
        </w:rPr>
        <w:t>l contrato social</w:t>
      </w:r>
      <w:r>
        <w:rPr>
          <w:szCs w:val="28"/>
          <w:lang w:val="es-ES"/>
        </w:rPr>
        <w:t>, el término prescriptivo aplicable es el previsto en el artículo 235 de la Ley 222 de 1995, modificatoria del libro II del Código de Comercio (sobre sociedades</w:t>
      </w:r>
      <w:r w:rsidR="00E601AA">
        <w:rPr>
          <w:szCs w:val="28"/>
          <w:lang w:val="es-ES"/>
        </w:rPr>
        <w:t xml:space="preserve"> comerciales</w:t>
      </w:r>
      <w:r>
        <w:rPr>
          <w:szCs w:val="28"/>
          <w:lang w:val="es-ES"/>
        </w:rPr>
        <w:t>)</w:t>
      </w:r>
      <w:r w:rsidR="00E601AA">
        <w:rPr>
          <w:szCs w:val="28"/>
          <w:lang w:val="es-ES"/>
        </w:rPr>
        <w:t>,</w:t>
      </w:r>
      <w:r>
        <w:rPr>
          <w:szCs w:val="28"/>
          <w:lang w:val="es-ES"/>
        </w:rPr>
        <w:t xml:space="preserve"> </w:t>
      </w:r>
      <w:r w:rsidR="000376ED">
        <w:rPr>
          <w:szCs w:val="28"/>
          <w:lang w:val="es-ES"/>
        </w:rPr>
        <w:t>al tenor del cual, “</w:t>
      </w:r>
      <w:r w:rsidR="000376ED" w:rsidRPr="000376ED">
        <w:rPr>
          <w:i/>
          <w:szCs w:val="28"/>
          <w:lang w:val="es-ES"/>
        </w:rPr>
        <w:t>Las acciones penales, civiles y administrativas derivadas del incumplimiento de las obligaciones o de la violación a lo previsto en el Libro Segundo del Código de Comercio y en es</w:t>
      </w:r>
      <w:r w:rsidR="000376ED">
        <w:rPr>
          <w:i/>
          <w:szCs w:val="28"/>
          <w:lang w:val="es-ES"/>
        </w:rPr>
        <w:t>ta ley, prescribirán en cinco añ</w:t>
      </w:r>
      <w:r w:rsidR="000376ED" w:rsidRPr="000376ED">
        <w:rPr>
          <w:i/>
          <w:szCs w:val="28"/>
          <w:lang w:val="es-ES"/>
        </w:rPr>
        <w:t>os, salvo que en ésta se haya señalado expresamente otra cosa</w:t>
      </w:r>
      <w:r w:rsidR="000376ED">
        <w:rPr>
          <w:i/>
          <w:szCs w:val="28"/>
          <w:lang w:val="es-ES"/>
        </w:rPr>
        <w:t>”</w:t>
      </w:r>
      <w:r w:rsidR="000376ED" w:rsidRPr="000376ED">
        <w:rPr>
          <w:szCs w:val="28"/>
          <w:lang w:val="es-ES"/>
        </w:rPr>
        <w:t>.</w:t>
      </w:r>
      <w:r w:rsidR="000376ED">
        <w:rPr>
          <w:szCs w:val="28"/>
          <w:lang w:val="es-ES"/>
        </w:rPr>
        <w:t xml:space="preserve"> </w:t>
      </w:r>
      <w:r>
        <w:rPr>
          <w:szCs w:val="28"/>
          <w:lang w:val="es-ES"/>
        </w:rPr>
        <w:t xml:space="preserve"> </w:t>
      </w:r>
      <w:r w:rsidR="00183960">
        <w:rPr>
          <w:szCs w:val="28"/>
          <w:lang w:val="es-ES"/>
        </w:rPr>
        <w:t>Conteo que se inicia desde cuando la obligación se ha hecho exigible, según los términos del inciso segundo del artículo 2535 del Código Civil, aplicable por remisión del canon 822 del Estatuto Mercantil.</w:t>
      </w:r>
    </w:p>
    <w:p w:rsidR="000376ED" w:rsidRDefault="000376ED" w:rsidP="00C7047B">
      <w:pPr>
        <w:spacing w:after="120"/>
        <w:ind w:firstLine="709"/>
        <w:rPr>
          <w:szCs w:val="28"/>
          <w:lang w:val="es-ES"/>
        </w:rPr>
      </w:pPr>
    </w:p>
    <w:p w:rsidR="001F4D54" w:rsidRPr="00C7047B" w:rsidRDefault="00E601AA" w:rsidP="00C7047B">
      <w:pPr>
        <w:spacing w:after="120"/>
        <w:ind w:firstLine="709"/>
        <w:rPr>
          <w:szCs w:val="28"/>
          <w:lang w:val="es-ES"/>
        </w:rPr>
      </w:pPr>
      <w:r>
        <w:rPr>
          <w:szCs w:val="28"/>
          <w:lang w:val="es-ES"/>
        </w:rPr>
        <w:t xml:space="preserve">El término de prescripción </w:t>
      </w:r>
      <w:r w:rsidR="00ED1105">
        <w:rPr>
          <w:szCs w:val="28"/>
          <w:lang w:val="es-ES"/>
        </w:rPr>
        <w:t xml:space="preserve">antedicho </w:t>
      </w:r>
      <w:r>
        <w:rPr>
          <w:szCs w:val="28"/>
          <w:lang w:val="es-ES"/>
        </w:rPr>
        <w:t>es igual al previsto en el artículo</w:t>
      </w:r>
      <w:r w:rsidR="000D4B69">
        <w:rPr>
          <w:szCs w:val="28"/>
          <w:lang w:val="es-ES"/>
        </w:rPr>
        <w:t xml:space="preserve"> 256</w:t>
      </w:r>
      <w:r w:rsidR="00ED1105">
        <w:rPr>
          <w:szCs w:val="28"/>
          <w:lang w:val="es-ES"/>
        </w:rPr>
        <w:t xml:space="preserve"> del Código de Comercio</w:t>
      </w:r>
      <w:r w:rsidR="008C4764">
        <w:rPr>
          <w:szCs w:val="28"/>
          <w:lang w:val="es-ES"/>
        </w:rPr>
        <w:t xml:space="preserve">, </w:t>
      </w:r>
      <w:r>
        <w:rPr>
          <w:szCs w:val="28"/>
          <w:lang w:val="es-ES"/>
        </w:rPr>
        <w:t xml:space="preserve">solo que este </w:t>
      </w:r>
      <w:r w:rsidR="000D1CA1">
        <w:rPr>
          <w:szCs w:val="28"/>
          <w:lang w:val="es-ES"/>
        </w:rPr>
        <w:t>dispone</w:t>
      </w:r>
      <w:r>
        <w:rPr>
          <w:szCs w:val="28"/>
          <w:lang w:val="es-ES"/>
        </w:rPr>
        <w:t xml:space="preserve"> que ese quinquenio deba comenzar a contarse </w:t>
      </w:r>
      <w:r w:rsidR="008C4764" w:rsidRPr="00465BC9">
        <w:rPr>
          <w:i/>
          <w:szCs w:val="28"/>
          <w:lang w:val="es-ES"/>
        </w:rPr>
        <w:t>a partir de la fecha de disolución de la sociedad</w:t>
      </w:r>
      <w:r w:rsidR="000D4B69">
        <w:rPr>
          <w:szCs w:val="28"/>
          <w:lang w:val="es-ES"/>
        </w:rPr>
        <w:t xml:space="preserve"> y la de hecho pareciera estar siempre en ese estado, </w:t>
      </w:r>
      <w:r w:rsidR="00DA1666">
        <w:rPr>
          <w:szCs w:val="28"/>
          <w:lang w:val="es-ES"/>
        </w:rPr>
        <w:t xml:space="preserve">con lo cual se genera una confusión, que salva el aludido precepto </w:t>
      </w:r>
      <w:r w:rsidR="00DA1666" w:rsidRPr="00DA1666">
        <w:rPr>
          <w:szCs w:val="28"/>
          <w:lang w:val="es-ES"/>
        </w:rPr>
        <w:t>235 de la Ley 222</w:t>
      </w:r>
      <w:r>
        <w:rPr>
          <w:szCs w:val="28"/>
          <w:lang w:val="es-ES"/>
        </w:rPr>
        <w:t>.</w:t>
      </w:r>
      <w:r w:rsidR="00210C63">
        <w:rPr>
          <w:szCs w:val="28"/>
          <w:lang w:val="es-ES"/>
        </w:rPr>
        <w:t xml:space="preserve"> </w:t>
      </w:r>
    </w:p>
    <w:p w:rsidR="002C1DA2" w:rsidRDefault="002C1DA2" w:rsidP="00194D3B">
      <w:pPr>
        <w:spacing w:after="120"/>
        <w:ind w:firstLine="709"/>
        <w:rPr>
          <w:szCs w:val="28"/>
          <w:lang w:val="es-ES"/>
        </w:rPr>
      </w:pPr>
    </w:p>
    <w:p w:rsidR="00194D3B" w:rsidRDefault="00820834" w:rsidP="00194D3B">
      <w:pPr>
        <w:spacing w:after="120"/>
        <w:ind w:firstLine="709"/>
        <w:rPr>
          <w:szCs w:val="28"/>
          <w:lang w:val="es-ES"/>
        </w:rPr>
      </w:pPr>
      <w:r>
        <w:rPr>
          <w:szCs w:val="28"/>
          <w:lang w:val="es-ES"/>
        </w:rPr>
        <w:t>B.</w:t>
      </w:r>
      <w:r>
        <w:rPr>
          <w:szCs w:val="28"/>
          <w:lang w:val="es-ES"/>
        </w:rPr>
        <w:tab/>
      </w:r>
      <w:r w:rsidR="00194D3B">
        <w:rPr>
          <w:szCs w:val="28"/>
          <w:lang w:val="es-ES"/>
        </w:rPr>
        <w:t xml:space="preserve">El ataque que se formula en </w:t>
      </w:r>
      <w:r w:rsidR="007B0B05">
        <w:rPr>
          <w:szCs w:val="28"/>
          <w:lang w:val="es-ES"/>
        </w:rPr>
        <w:t>el cargo primero</w:t>
      </w:r>
      <w:r w:rsidR="00194D3B">
        <w:rPr>
          <w:szCs w:val="28"/>
          <w:lang w:val="es-ES"/>
        </w:rPr>
        <w:t xml:space="preserve"> es parcial como quiera que se dirige a cuestionar la conclusión del Tribunal referida a la aplicación del término prescriptivo del artículo 256 del Código de Comercio a una sociedad de hecho conformada entre Luis Fernando Mejía Otero y la sociedad Tamer Ltda. </w:t>
      </w:r>
      <w:r w:rsidR="004527E3">
        <w:rPr>
          <w:szCs w:val="28"/>
          <w:lang w:val="es-ES"/>
        </w:rPr>
        <w:t xml:space="preserve"> En el segundo</w:t>
      </w:r>
      <w:r w:rsidR="0020591D">
        <w:rPr>
          <w:szCs w:val="28"/>
          <w:lang w:val="es-ES"/>
        </w:rPr>
        <w:t xml:space="preserve"> </w:t>
      </w:r>
      <w:r w:rsidR="004527E3">
        <w:rPr>
          <w:szCs w:val="28"/>
          <w:lang w:val="es-ES"/>
        </w:rPr>
        <w:t xml:space="preserve"> se asevera que la acción ejercida no es la prevista en </w:t>
      </w:r>
      <w:r w:rsidR="0020591D">
        <w:rPr>
          <w:szCs w:val="28"/>
          <w:lang w:val="es-ES"/>
        </w:rPr>
        <w:t>aquel</w:t>
      </w:r>
      <w:r w:rsidR="004527E3">
        <w:rPr>
          <w:szCs w:val="28"/>
          <w:lang w:val="es-ES"/>
        </w:rPr>
        <w:t xml:space="preserve"> precepto </w:t>
      </w:r>
      <w:r w:rsidR="0020591D">
        <w:rPr>
          <w:szCs w:val="28"/>
          <w:lang w:val="es-ES"/>
        </w:rPr>
        <w:t xml:space="preserve">pues </w:t>
      </w:r>
      <w:r w:rsidR="004527E3">
        <w:rPr>
          <w:szCs w:val="28"/>
          <w:lang w:val="es-ES"/>
        </w:rPr>
        <w:t xml:space="preserve">involucra a terceros ajenos a las sociedades propiamente dichas </w:t>
      </w:r>
      <w:r w:rsidR="0020591D">
        <w:rPr>
          <w:szCs w:val="28"/>
          <w:lang w:val="es-ES"/>
        </w:rPr>
        <w:t xml:space="preserve">y busca la </w:t>
      </w:r>
      <w:r w:rsidR="004527E3">
        <w:rPr>
          <w:szCs w:val="28"/>
          <w:lang w:val="es-ES"/>
        </w:rPr>
        <w:t>declaratoria de nulidad absoluta de actos de transferencia del dominio.</w:t>
      </w:r>
    </w:p>
    <w:p w:rsidR="00820834" w:rsidRDefault="00820834" w:rsidP="00194D3B">
      <w:pPr>
        <w:spacing w:after="120"/>
        <w:ind w:firstLine="709"/>
        <w:rPr>
          <w:szCs w:val="28"/>
          <w:lang w:val="es-ES"/>
        </w:rPr>
      </w:pPr>
    </w:p>
    <w:p w:rsidR="00194D3B" w:rsidRDefault="007B0B05" w:rsidP="00194D3B">
      <w:pPr>
        <w:spacing w:after="120"/>
        <w:ind w:firstLine="709"/>
        <w:rPr>
          <w:szCs w:val="28"/>
          <w:lang w:val="es-ES"/>
        </w:rPr>
      </w:pPr>
      <w:r>
        <w:rPr>
          <w:szCs w:val="28"/>
          <w:lang w:val="es-ES"/>
        </w:rPr>
        <w:t xml:space="preserve">Ambos </w:t>
      </w:r>
      <w:r w:rsidR="00194D3B">
        <w:rPr>
          <w:szCs w:val="28"/>
          <w:lang w:val="es-ES"/>
        </w:rPr>
        <w:t>se encuentra</w:t>
      </w:r>
      <w:r>
        <w:rPr>
          <w:szCs w:val="28"/>
          <w:lang w:val="es-ES"/>
        </w:rPr>
        <w:t>n</w:t>
      </w:r>
      <w:r w:rsidR="00194D3B">
        <w:rPr>
          <w:szCs w:val="28"/>
          <w:lang w:val="es-ES"/>
        </w:rPr>
        <w:t xml:space="preserve"> articulado</w:t>
      </w:r>
      <w:r>
        <w:rPr>
          <w:szCs w:val="28"/>
          <w:lang w:val="es-ES"/>
        </w:rPr>
        <w:t>s</w:t>
      </w:r>
      <w:r w:rsidR="00194D3B">
        <w:rPr>
          <w:szCs w:val="28"/>
          <w:lang w:val="es-ES"/>
        </w:rPr>
        <w:t xml:space="preserve"> por la vía directa en la que, como es sabido, el censor no debe separarse </w:t>
      </w:r>
      <w:r w:rsidR="0020591D">
        <w:rPr>
          <w:szCs w:val="28"/>
          <w:lang w:val="es-ES"/>
        </w:rPr>
        <w:t>“</w:t>
      </w:r>
      <w:r w:rsidR="0020591D" w:rsidRPr="00ED1105">
        <w:rPr>
          <w:i/>
          <w:szCs w:val="28"/>
          <w:lang w:val="es-ES"/>
        </w:rPr>
        <w:t>ni un ápice siquiera</w:t>
      </w:r>
      <w:r w:rsidR="0020591D">
        <w:rPr>
          <w:szCs w:val="28"/>
          <w:lang w:val="es-ES"/>
        </w:rPr>
        <w:t xml:space="preserve">” </w:t>
      </w:r>
      <w:r w:rsidR="00194D3B">
        <w:rPr>
          <w:szCs w:val="28"/>
          <w:lang w:val="es-ES"/>
        </w:rPr>
        <w:t xml:space="preserve">de las conclusiones fácticas que el Tribunal acogió, limitándose tan sólo a cuestionar y rebatir los aspectos meramente jurídicos, esto es, a poner de presente cómo las normas sustanciales que denuncia fueron </w:t>
      </w:r>
      <w:r w:rsidR="00E66F8A">
        <w:rPr>
          <w:szCs w:val="28"/>
          <w:lang w:val="es-ES"/>
        </w:rPr>
        <w:t xml:space="preserve">no </w:t>
      </w:r>
      <w:r w:rsidR="00194D3B">
        <w:rPr>
          <w:szCs w:val="28"/>
          <w:lang w:val="es-ES"/>
        </w:rPr>
        <w:t>aplicadas</w:t>
      </w:r>
      <w:r w:rsidR="00E66F8A">
        <w:rPr>
          <w:szCs w:val="28"/>
          <w:lang w:val="es-ES"/>
        </w:rPr>
        <w:t xml:space="preserve"> o indebidamente hechas actuar o</w:t>
      </w:r>
      <w:r w:rsidR="00194D3B">
        <w:rPr>
          <w:szCs w:val="28"/>
          <w:lang w:val="es-ES"/>
        </w:rPr>
        <w:t xml:space="preserve"> erróneamente interpretadas</w:t>
      </w:r>
      <w:r w:rsidR="003D0DCA">
        <w:rPr>
          <w:szCs w:val="28"/>
          <w:lang w:val="es-ES"/>
        </w:rPr>
        <w:t xml:space="preserve"> en el fallo</w:t>
      </w:r>
      <w:r w:rsidR="00194D3B">
        <w:rPr>
          <w:szCs w:val="28"/>
          <w:lang w:val="es-ES"/>
        </w:rPr>
        <w:t xml:space="preserve">. Proceder de otro modo, es decir, partir de supuestos fácticos distintos de los que el </w:t>
      </w:r>
      <w:r w:rsidR="00E66F8A">
        <w:rPr>
          <w:szCs w:val="28"/>
          <w:lang w:val="es-ES"/>
        </w:rPr>
        <w:t xml:space="preserve">juzgador </w:t>
      </w:r>
      <w:r w:rsidR="00E66F8A" w:rsidRPr="003D0DCA">
        <w:rPr>
          <w:i/>
          <w:szCs w:val="28"/>
          <w:lang w:val="es-ES"/>
        </w:rPr>
        <w:t>ad quem</w:t>
      </w:r>
      <w:r w:rsidR="00194D3B">
        <w:rPr>
          <w:szCs w:val="28"/>
          <w:lang w:val="es-ES"/>
        </w:rPr>
        <w:t xml:space="preserve"> tomó en consideración involucra, a no dudarlo, un entremezclamien</w:t>
      </w:r>
      <w:r w:rsidR="00E66F8A">
        <w:rPr>
          <w:szCs w:val="28"/>
          <w:lang w:val="es-ES"/>
        </w:rPr>
        <w:t>to de vías (</w:t>
      </w:r>
      <w:r w:rsidR="00194D3B">
        <w:rPr>
          <w:szCs w:val="28"/>
          <w:lang w:val="es-ES"/>
        </w:rPr>
        <w:t>directa e indirecta) que torna el embate confuso, en contra de la exigencia prevista en el numeral 3º del artículo 374 del Código de Procedimiento Civil, que requiere la “</w:t>
      </w:r>
      <w:r w:rsidR="00194D3B" w:rsidRPr="00472B62">
        <w:rPr>
          <w:i/>
          <w:szCs w:val="28"/>
          <w:lang w:val="es-ES"/>
        </w:rPr>
        <w:t>formulación por separado de los cargos contra la sentencia recurrida, con la exposición de los fundamentos de cada acusación, en forma clara y precisa</w:t>
      </w:r>
      <w:r w:rsidR="00194D3B">
        <w:rPr>
          <w:szCs w:val="28"/>
          <w:lang w:val="es-ES"/>
        </w:rPr>
        <w:t>”.</w:t>
      </w:r>
    </w:p>
    <w:p w:rsidR="00194D3B" w:rsidRDefault="00194D3B" w:rsidP="00194D3B">
      <w:pPr>
        <w:spacing w:after="120"/>
        <w:ind w:firstLine="709"/>
        <w:rPr>
          <w:szCs w:val="28"/>
          <w:lang w:val="es-ES"/>
        </w:rPr>
      </w:pPr>
    </w:p>
    <w:p w:rsidR="006359ED" w:rsidRDefault="00114185" w:rsidP="00194D3B">
      <w:pPr>
        <w:spacing w:after="120"/>
        <w:ind w:firstLine="709"/>
        <w:rPr>
          <w:szCs w:val="28"/>
          <w:lang w:val="es-ES"/>
        </w:rPr>
      </w:pPr>
      <w:r>
        <w:rPr>
          <w:szCs w:val="28"/>
          <w:lang w:val="es-ES"/>
        </w:rPr>
        <w:t>C.</w:t>
      </w:r>
      <w:r>
        <w:rPr>
          <w:szCs w:val="28"/>
          <w:lang w:val="es-ES"/>
        </w:rPr>
        <w:tab/>
      </w:r>
      <w:r w:rsidR="00194D3B">
        <w:rPr>
          <w:szCs w:val="28"/>
          <w:lang w:val="es-ES"/>
        </w:rPr>
        <w:t xml:space="preserve">Es lo que se advierte en </w:t>
      </w:r>
      <w:r w:rsidR="00E7441F">
        <w:rPr>
          <w:szCs w:val="28"/>
          <w:lang w:val="es-ES"/>
        </w:rPr>
        <w:t xml:space="preserve">ambos </w:t>
      </w:r>
      <w:r w:rsidR="00194D3B">
        <w:rPr>
          <w:szCs w:val="28"/>
          <w:lang w:val="es-ES"/>
        </w:rPr>
        <w:t>cargo</w:t>
      </w:r>
      <w:r w:rsidR="00E7441F">
        <w:rPr>
          <w:szCs w:val="28"/>
          <w:lang w:val="es-ES"/>
        </w:rPr>
        <w:t>s</w:t>
      </w:r>
      <w:r w:rsidR="00194D3B">
        <w:rPr>
          <w:szCs w:val="28"/>
          <w:lang w:val="es-ES"/>
        </w:rPr>
        <w:t xml:space="preserve">. Hay </w:t>
      </w:r>
      <w:r w:rsidR="002C1DA2">
        <w:rPr>
          <w:szCs w:val="28"/>
          <w:lang w:val="es-ES"/>
        </w:rPr>
        <w:t>en ellos discrepancias fácticas</w:t>
      </w:r>
      <w:r w:rsidR="00194D3B">
        <w:rPr>
          <w:szCs w:val="28"/>
          <w:lang w:val="es-ES"/>
        </w:rPr>
        <w:t xml:space="preserve"> entre lo que el Tribunal concluyó y el punto de partida del recurrente</w:t>
      </w:r>
      <w:r w:rsidR="00E66F8A">
        <w:rPr>
          <w:szCs w:val="28"/>
          <w:lang w:val="es-ES"/>
        </w:rPr>
        <w:t xml:space="preserve"> como detonante, según él, de la infracción normativa</w:t>
      </w:r>
      <w:r w:rsidR="002C1DA2">
        <w:rPr>
          <w:szCs w:val="28"/>
          <w:lang w:val="es-ES"/>
        </w:rPr>
        <w:t xml:space="preserve">. </w:t>
      </w:r>
    </w:p>
    <w:p w:rsidR="006359ED" w:rsidRDefault="006359ED" w:rsidP="00194D3B">
      <w:pPr>
        <w:spacing w:after="120"/>
        <w:ind w:firstLine="709"/>
        <w:rPr>
          <w:szCs w:val="28"/>
          <w:lang w:val="es-ES"/>
        </w:rPr>
      </w:pPr>
    </w:p>
    <w:p w:rsidR="00194D3B" w:rsidRDefault="00114185" w:rsidP="00114185">
      <w:pPr>
        <w:spacing w:after="120"/>
        <w:ind w:firstLine="1560"/>
        <w:rPr>
          <w:szCs w:val="28"/>
          <w:lang w:val="es-ES"/>
        </w:rPr>
      </w:pPr>
      <w:r>
        <w:rPr>
          <w:szCs w:val="28"/>
          <w:lang w:val="es-ES"/>
        </w:rPr>
        <w:t>1.</w:t>
      </w:r>
      <w:r>
        <w:rPr>
          <w:szCs w:val="28"/>
          <w:lang w:val="es-ES"/>
        </w:rPr>
        <w:tab/>
      </w:r>
      <w:r w:rsidR="006359ED">
        <w:rPr>
          <w:szCs w:val="28"/>
          <w:lang w:val="es-ES"/>
        </w:rPr>
        <w:t xml:space="preserve">En el cargo primero, </w:t>
      </w:r>
      <w:r w:rsidR="003D0DCA">
        <w:rPr>
          <w:szCs w:val="28"/>
          <w:lang w:val="es-ES"/>
        </w:rPr>
        <w:t xml:space="preserve">porque </w:t>
      </w:r>
      <w:r w:rsidR="00194D3B">
        <w:rPr>
          <w:szCs w:val="28"/>
          <w:lang w:val="es-ES"/>
        </w:rPr>
        <w:t xml:space="preserve">al paso que </w:t>
      </w:r>
      <w:r w:rsidR="00E7441F">
        <w:rPr>
          <w:szCs w:val="28"/>
          <w:lang w:val="es-ES"/>
        </w:rPr>
        <w:t xml:space="preserve">aquel </w:t>
      </w:r>
      <w:r w:rsidR="00194D3B">
        <w:rPr>
          <w:szCs w:val="28"/>
          <w:lang w:val="es-ES"/>
        </w:rPr>
        <w:t>considera que</w:t>
      </w:r>
      <w:r w:rsidR="00E7441F">
        <w:rPr>
          <w:szCs w:val="28"/>
          <w:lang w:val="es-ES"/>
        </w:rPr>
        <w:t xml:space="preserve"> la sociedad </w:t>
      </w:r>
      <w:r w:rsidR="00194D3B">
        <w:rPr>
          <w:szCs w:val="28"/>
          <w:lang w:val="es-ES"/>
        </w:rPr>
        <w:t>de hecho</w:t>
      </w:r>
      <w:r w:rsidR="002C1DA2">
        <w:rPr>
          <w:szCs w:val="28"/>
          <w:lang w:val="es-ES"/>
        </w:rPr>
        <w:t xml:space="preserve"> de</w:t>
      </w:r>
      <w:r w:rsidR="00194D3B">
        <w:rPr>
          <w:szCs w:val="28"/>
          <w:lang w:val="es-ES"/>
        </w:rPr>
        <w:t xml:space="preserve"> Tamer Ltda. y el actor</w:t>
      </w:r>
      <w:r w:rsidR="00E7441F">
        <w:rPr>
          <w:szCs w:val="28"/>
          <w:lang w:val="es-ES"/>
        </w:rPr>
        <w:t xml:space="preserve"> </w:t>
      </w:r>
      <w:r w:rsidR="00174920">
        <w:rPr>
          <w:szCs w:val="28"/>
          <w:lang w:val="es-ES"/>
        </w:rPr>
        <w:t>está liquidada</w:t>
      </w:r>
      <w:r w:rsidR="000D4942">
        <w:rPr>
          <w:szCs w:val="28"/>
          <w:lang w:val="es-ES"/>
        </w:rPr>
        <w:t>,</w:t>
      </w:r>
      <w:r w:rsidR="00174920">
        <w:rPr>
          <w:szCs w:val="28"/>
          <w:lang w:val="es-ES"/>
        </w:rPr>
        <w:t xml:space="preserve"> el actor insiste en que </w:t>
      </w:r>
      <w:r w:rsidR="006359ED">
        <w:rPr>
          <w:szCs w:val="28"/>
          <w:lang w:val="es-ES"/>
        </w:rPr>
        <w:t xml:space="preserve">no se </w:t>
      </w:r>
      <w:r w:rsidR="00174920">
        <w:rPr>
          <w:szCs w:val="28"/>
          <w:lang w:val="es-ES"/>
        </w:rPr>
        <w:t xml:space="preserve">encuentra </w:t>
      </w:r>
      <w:r w:rsidR="00194D3B">
        <w:rPr>
          <w:szCs w:val="28"/>
          <w:lang w:val="es-ES"/>
        </w:rPr>
        <w:t xml:space="preserve">disuelta ni </w:t>
      </w:r>
      <w:r w:rsidR="006359ED">
        <w:rPr>
          <w:szCs w:val="28"/>
          <w:lang w:val="es-ES"/>
        </w:rPr>
        <w:t>menos liquidada, para de allí, es decir de esa base fáctica</w:t>
      </w:r>
      <w:r w:rsidR="003D0DCA">
        <w:rPr>
          <w:szCs w:val="28"/>
          <w:lang w:val="es-ES"/>
        </w:rPr>
        <w:t xml:space="preserve"> distinta de la adoptada por el juzgador</w:t>
      </w:r>
      <w:r w:rsidR="006359ED">
        <w:rPr>
          <w:szCs w:val="28"/>
          <w:lang w:val="es-ES"/>
        </w:rPr>
        <w:t>, alegar la improcedencia de la aplicación del artículo 256 del Código de Comercio.</w:t>
      </w:r>
    </w:p>
    <w:p w:rsidR="00114185" w:rsidRDefault="00114185" w:rsidP="00820834">
      <w:pPr>
        <w:spacing w:after="120"/>
        <w:ind w:firstLine="709"/>
        <w:rPr>
          <w:szCs w:val="28"/>
          <w:lang w:val="es-ES"/>
        </w:rPr>
      </w:pPr>
    </w:p>
    <w:p w:rsidR="00820834" w:rsidRDefault="00820834" w:rsidP="00820834">
      <w:pPr>
        <w:spacing w:after="120"/>
        <w:ind w:firstLine="709"/>
        <w:rPr>
          <w:szCs w:val="28"/>
          <w:lang w:val="es-ES"/>
        </w:rPr>
      </w:pPr>
      <w:r>
        <w:rPr>
          <w:szCs w:val="28"/>
          <w:lang w:val="es-ES"/>
        </w:rPr>
        <w:t>En efecto, esa colegiatura consideró que “</w:t>
      </w:r>
      <w:r w:rsidRPr="00433097">
        <w:rPr>
          <w:i/>
          <w:sz w:val="24"/>
          <w:szCs w:val="24"/>
          <w:lang w:val="es-ES"/>
        </w:rPr>
        <w:t>en seguimiento a lo aseverado por el mismo actor en los hechos décimo y décimo segundo de la demanda sustitutiva, de haberse liquidado la</w:t>
      </w:r>
      <w:r>
        <w:rPr>
          <w:i/>
          <w:sz w:val="24"/>
          <w:szCs w:val="24"/>
          <w:lang w:val="es-ES"/>
        </w:rPr>
        <w:t>s</w:t>
      </w:r>
      <w:r w:rsidRPr="00433097">
        <w:rPr>
          <w:i/>
          <w:sz w:val="24"/>
          <w:szCs w:val="24"/>
          <w:lang w:val="es-ES"/>
        </w:rPr>
        <w:t xml:space="preserve"> sociedades de hecho enunciadas en sus pretensiones, en el año 1994 la misma deberá declararse prescrita</w:t>
      </w:r>
      <w:r>
        <w:rPr>
          <w:szCs w:val="28"/>
          <w:lang w:val="es-ES"/>
        </w:rPr>
        <w:t>” (f. 39, c. 5). La conclusión, pues, del Tribunal devino de la apreciación de la demanda.</w:t>
      </w:r>
    </w:p>
    <w:p w:rsidR="00820834" w:rsidRDefault="00820834" w:rsidP="00820834">
      <w:pPr>
        <w:spacing w:after="120"/>
        <w:ind w:firstLine="709"/>
        <w:rPr>
          <w:szCs w:val="28"/>
          <w:lang w:val="es-ES"/>
        </w:rPr>
      </w:pPr>
    </w:p>
    <w:p w:rsidR="00820834" w:rsidRDefault="00820834" w:rsidP="00820834">
      <w:pPr>
        <w:spacing w:after="120"/>
        <w:ind w:firstLine="709"/>
        <w:rPr>
          <w:szCs w:val="28"/>
          <w:lang w:val="es-ES"/>
        </w:rPr>
      </w:pPr>
      <w:r>
        <w:rPr>
          <w:szCs w:val="28"/>
          <w:lang w:val="es-ES"/>
        </w:rPr>
        <w:t>Esta sola anomalía técnica impide que la Corte avance  en el estudio de fondo del cargo primero, pues de entender que fue expuesto para denunciar violación indirecta de normas sustanciales, enseguida sobresale la ausencia de la calificación del yerro probatorio (si de hecho o de derecho) que habría cometido el Tribunal en la apreciación y valoración de los medios de convencimiento que obran en el expediente. Ni menos hay en el cargo la determinación de prueba alguna que permita el cotejo a efectos de la demostración del dislate. A eso se refiere el tercer cargo, que adelante se examina.</w:t>
      </w:r>
    </w:p>
    <w:p w:rsidR="00820834" w:rsidRDefault="00820834" w:rsidP="00820834">
      <w:pPr>
        <w:spacing w:after="120"/>
        <w:ind w:firstLine="709"/>
        <w:rPr>
          <w:szCs w:val="28"/>
          <w:lang w:val="es-ES"/>
        </w:rPr>
      </w:pPr>
    </w:p>
    <w:p w:rsidR="00820834" w:rsidRDefault="00820834" w:rsidP="00820834">
      <w:pPr>
        <w:spacing w:after="120"/>
        <w:ind w:firstLine="709"/>
        <w:rPr>
          <w:szCs w:val="28"/>
          <w:lang w:val="es-ES"/>
        </w:rPr>
      </w:pPr>
      <w:r>
        <w:rPr>
          <w:szCs w:val="28"/>
          <w:lang w:val="es-ES"/>
        </w:rPr>
        <w:t xml:space="preserve">Comprende por tanto ese cargo primero un entremezclamiento de vías que resulta antitécnico, no obstante que el artículo 51 del </w:t>
      </w:r>
      <w:r w:rsidR="00D67AB7">
        <w:rPr>
          <w:szCs w:val="28"/>
          <w:lang w:val="es-ES"/>
        </w:rPr>
        <w:t xml:space="preserve">Decreto </w:t>
      </w:r>
      <w:r>
        <w:rPr>
          <w:szCs w:val="28"/>
          <w:lang w:val="es-ES"/>
        </w:rPr>
        <w:t>2651 de 1991, convertido en legislación permane</w:t>
      </w:r>
      <w:r w:rsidR="008041CD">
        <w:rPr>
          <w:szCs w:val="28"/>
          <w:lang w:val="es-ES"/>
        </w:rPr>
        <w:t xml:space="preserve">nte por la ley 446 de 1998, </w:t>
      </w:r>
      <w:r w:rsidR="00C8218B">
        <w:rPr>
          <w:szCs w:val="28"/>
          <w:lang w:val="es-ES"/>
        </w:rPr>
        <w:t>exige</w:t>
      </w:r>
      <w:r>
        <w:rPr>
          <w:szCs w:val="28"/>
          <w:lang w:val="es-ES"/>
        </w:rPr>
        <w:t xml:space="preserve"> de la Corte que escinda las acusaciones cuando han debido ser planteadas en cargos separados, faena que resulta inútil acá si en cuenta se tiene la omisión en la determinación de los medios de convicción sobre los cuales pueda predicarse el yerro</w:t>
      </w:r>
      <w:r w:rsidR="008041CD">
        <w:rPr>
          <w:szCs w:val="28"/>
          <w:lang w:val="es-ES"/>
        </w:rPr>
        <w:t xml:space="preserve"> probatorio.</w:t>
      </w:r>
    </w:p>
    <w:p w:rsidR="00820834" w:rsidRDefault="00820834" w:rsidP="00194D3B">
      <w:pPr>
        <w:spacing w:after="120"/>
        <w:ind w:firstLine="709"/>
        <w:rPr>
          <w:szCs w:val="28"/>
          <w:lang w:val="es-ES"/>
        </w:rPr>
      </w:pPr>
    </w:p>
    <w:p w:rsidR="003C5696" w:rsidRDefault="00114185" w:rsidP="003C5696">
      <w:pPr>
        <w:spacing w:after="120"/>
        <w:ind w:firstLine="1701"/>
        <w:rPr>
          <w:szCs w:val="28"/>
          <w:lang w:val="es-ES"/>
        </w:rPr>
      </w:pPr>
      <w:r>
        <w:rPr>
          <w:szCs w:val="28"/>
          <w:lang w:val="es-ES"/>
        </w:rPr>
        <w:t>2.</w:t>
      </w:r>
      <w:r>
        <w:rPr>
          <w:szCs w:val="28"/>
          <w:lang w:val="es-ES"/>
        </w:rPr>
        <w:tab/>
      </w:r>
      <w:r>
        <w:rPr>
          <w:szCs w:val="28"/>
          <w:lang w:val="es-ES"/>
        </w:rPr>
        <w:tab/>
      </w:r>
      <w:r w:rsidR="006359ED">
        <w:rPr>
          <w:szCs w:val="28"/>
          <w:lang w:val="es-ES"/>
        </w:rPr>
        <w:t>Y en el cargo segundo se detecta similar anomalía, pues insiste e</w:t>
      </w:r>
      <w:r w:rsidR="003D0DCA">
        <w:rPr>
          <w:szCs w:val="28"/>
          <w:lang w:val="es-ES"/>
        </w:rPr>
        <w:t>l censor e</w:t>
      </w:r>
      <w:r w:rsidR="006359ED">
        <w:rPr>
          <w:szCs w:val="28"/>
          <w:lang w:val="es-ES"/>
        </w:rPr>
        <w:t xml:space="preserve">n que las acciones </w:t>
      </w:r>
      <w:r w:rsidR="0020591D">
        <w:rPr>
          <w:szCs w:val="28"/>
          <w:lang w:val="es-ES"/>
        </w:rPr>
        <w:t xml:space="preserve">de los </w:t>
      </w:r>
      <w:r w:rsidR="006359ED">
        <w:rPr>
          <w:szCs w:val="28"/>
          <w:lang w:val="es-ES"/>
        </w:rPr>
        <w:t>demandante</w:t>
      </w:r>
      <w:r w:rsidR="0020591D">
        <w:rPr>
          <w:szCs w:val="28"/>
          <w:lang w:val="es-ES"/>
        </w:rPr>
        <w:t>s</w:t>
      </w:r>
      <w:r w:rsidR="006359ED">
        <w:rPr>
          <w:szCs w:val="28"/>
          <w:lang w:val="es-ES"/>
        </w:rPr>
        <w:t xml:space="preserve"> no se circunscriben a las previstas en el artículo 256 </w:t>
      </w:r>
      <w:r w:rsidR="00D67AB7">
        <w:rPr>
          <w:szCs w:val="28"/>
          <w:lang w:val="es-ES"/>
        </w:rPr>
        <w:t xml:space="preserve">prenombrado </w:t>
      </w:r>
      <w:r w:rsidR="006359ED">
        <w:rPr>
          <w:szCs w:val="28"/>
          <w:lang w:val="es-ES"/>
        </w:rPr>
        <w:t xml:space="preserve">sino que comprenden otras, que involucran a terceros -causahabientes y cesionarios- </w:t>
      </w:r>
      <w:r w:rsidR="003D0DCA">
        <w:rPr>
          <w:szCs w:val="28"/>
          <w:lang w:val="es-ES"/>
        </w:rPr>
        <w:t xml:space="preserve">las que además van </w:t>
      </w:r>
      <w:r w:rsidR="006359ED">
        <w:rPr>
          <w:szCs w:val="28"/>
          <w:lang w:val="es-ES"/>
        </w:rPr>
        <w:t xml:space="preserve">dirigidas a la declaratoria de nulidad de la transferencia del dominio de distintos inmuebles. Tal modo de plantear las cosas significa, ni más ni menos, enrostrarle al Tribunal una </w:t>
      </w:r>
      <w:r w:rsidR="008041CD">
        <w:rPr>
          <w:szCs w:val="28"/>
          <w:lang w:val="es-ES"/>
        </w:rPr>
        <w:t xml:space="preserve">errónea apreciación </w:t>
      </w:r>
      <w:r w:rsidR="006359ED">
        <w:rPr>
          <w:szCs w:val="28"/>
          <w:lang w:val="es-ES"/>
        </w:rPr>
        <w:t>de la demanda, un distanciamiento fáctico que sitúa el argumento en una senda distinta (la vía indirecta) a la escogida por el recurrente (la directa).</w:t>
      </w:r>
      <w:r w:rsidR="008041CD">
        <w:rPr>
          <w:szCs w:val="28"/>
          <w:lang w:val="es-ES"/>
        </w:rPr>
        <w:t xml:space="preserve"> Y con </w:t>
      </w:r>
      <w:r w:rsidR="003C5696">
        <w:rPr>
          <w:szCs w:val="28"/>
          <w:lang w:val="es-ES"/>
        </w:rPr>
        <w:t xml:space="preserve">el agravante de que </w:t>
      </w:r>
      <w:r w:rsidR="008041CD">
        <w:rPr>
          <w:szCs w:val="28"/>
          <w:lang w:val="es-ES"/>
        </w:rPr>
        <w:t>si la Corte escinde</w:t>
      </w:r>
      <w:r w:rsidR="00B52768">
        <w:rPr>
          <w:szCs w:val="28"/>
          <w:lang w:val="es-ES"/>
        </w:rPr>
        <w:t xml:space="preserve"> la acusación</w:t>
      </w:r>
      <w:r w:rsidR="003C5696">
        <w:rPr>
          <w:szCs w:val="28"/>
          <w:lang w:val="es-ES"/>
        </w:rPr>
        <w:t xml:space="preserve">, en cumplimiento de lo establecido en el artículo 51 del Decreto 2651 de 1991, </w:t>
      </w:r>
      <w:r w:rsidR="00B52768">
        <w:rPr>
          <w:szCs w:val="28"/>
          <w:lang w:val="es-ES"/>
        </w:rPr>
        <w:t xml:space="preserve">se choca con </w:t>
      </w:r>
      <w:r w:rsidR="003C5696">
        <w:rPr>
          <w:szCs w:val="28"/>
          <w:lang w:val="es-ES"/>
        </w:rPr>
        <w:t xml:space="preserve">una evidente falta de demostración del yerro endilgado, a partir de la confrontación entre lo que la prueba dice y lo que el Tribunal concluyó de ellas. Es por demás jurisprudencia reiterada de esta </w:t>
      </w:r>
      <w:r w:rsidR="00D67AB7">
        <w:rPr>
          <w:szCs w:val="28"/>
          <w:lang w:val="es-ES"/>
        </w:rPr>
        <w:t xml:space="preserve">Corporación </w:t>
      </w:r>
      <w:r w:rsidR="003C5696">
        <w:rPr>
          <w:szCs w:val="28"/>
          <w:lang w:val="es-ES"/>
        </w:rPr>
        <w:t xml:space="preserve">que en el camino de la comprobación del yerro fáctico </w:t>
      </w:r>
    </w:p>
    <w:p w:rsidR="003C5696" w:rsidRDefault="003C5696" w:rsidP="003C5696">
      <w:pPr>
        <w:spacing w:after="120"/>
        <w:ind w:firstLine="1701"/>
        <w:rPr>
          <w:szCs w:val="28"/>
          <w:lang w:val="es-ES"/>
        </w:rPr>
      </w:pPr>
    </w:p>
    <w:p w:rsidR="003C5696" w:rsidRDefault="003C5696" w:rsidP="003C5696">
      <w:pPr>
        <w:spacing w:after="120"/>
        <w:ind w:left="709"/>
        <w:rPr>
          <w:szCs w:val="28"/>
          <w:lang w:val="es-ES"/>
        </w:rPr>
      </w:pPr>
      <w:r w:rsidRPr="003C5696">
        <w:rPr>
          <w:i/>
          <w:sz w:val="24"/>
          <w:szCs w:val="24"/>
          <w:lang w:val="es-ES"/>
        </w:rPr>
        <w:t>es necesario que el recurrente lo demuestre, comprobación que exige del impugnador, con miras a dejar sentada la presencia del yerro, que confronte lo expuesto en el fallo con lo representado por la prueba, a fin de que de esa comparación surja el desacierto del sentenciador de manera nítida y evidente.</w:t>
      </w:r>
    </w:p>
    <w:p w:rsidR="00521B30" w:rsidRPr="00521B30" w:rsidRDefault="003C5696" w:rsidP="003C5696">
      <w:pPr>
        <w:spacing w:after="120"/>
        <w:ind w:left="709"/>
        <w:rPr>
          <w:szCs w:val="28"/>
          <w:lang w:val="es-ES"/>
        </w:rPr>
      </w:pPr>
      <w:r w:rsidRPr="003C5696">
        <w:rPr>
          <w:i/>
          <w:sz w:val="24"/>
          <w:szCs w:val="24"/>
          <w:lang w:val="es-ES"/>
        </w:rPr>
        <w:t>El cotejo a que se alude, presupone, entonces, que cuando el error denunciado no lo sea por preterición total de la prueba, sino por adición o cercena-miento de la misma, ha de mostrar el casacionista qué es lo que ella dice en realidad, para indicar a continuación qué fue lo que el tribunal vio, examen que, para los efectos que se propone, debe revelar la protuberante disparidad entre el tenor de la prueba y la estimaci</w:t>
      </w:r>
      <w:r w:rsidR="00521B30">
        <w:rPr>
          <w:i/>
          <w:sz w:val="24"/>
          <w:szCs w:val="24"/>
          <w:lang w:val="es-ES"/>
        </w:rPr>
        <w:t>ón cumplida por el sentenciador”</w:t>
      </w:r>
      <w:r w:rsidR="00521B30">
        <w:rPr>
          <w:szCs w:val="28"/>
          <w:lang w:val="es-ES"/>
        </w:rPr>
        <w:t xml:space="preserve"> (SC-081-98 de 21 sept. 1998, rad. n°.</w:t>
      </w:r>
      <w:r w:rsidR="00521B30" w:rsidRPr="00521B30">
        <w:t xml:space="preserve"> </w:t>
      </w:r>
      <w:r w:rsidR="00521B30" w:rsidRPr="00521B30">
        <w:rPr>
          <w:szCs w:val="28"/>
          <w:lang w:val="es-ES"/>
        </w:rPr>
        <w:t>4844</w:t>
      </w:r>
      <w:r w:rsidR="00521B30">
        <w:rPr>
          <w:szCs w:val="28"/>
          <w:lang w:val="es-ES"/>
        </w:rPr>
        <w:t>).</w:t>
      </w:r>
    </w:p>
    <w:p w:rsidR="00820834" w:rsidRDefault="00820834" w:rsidP="00194D3B">
      <w:pPr>
        <w:spacing w:after="120"/>
        <w:ind w:firstLine="709"/>
        <w:rPr>
          <w:szCs w:val="28"/>
          <w:lang w:val="es-ES"/>
        </w:rPr>
      </w:pPr>
    </w:p>
    <w:p w:rsidR="001E4509" w:rsidRDefault="00114185" w:rsidP="00194D3B">
      <w:pPr>
        <w:spacing w:after="120"/>
        <w:ind w:firstLine="709"/>
        <w:rPr>
          <w:szCs w:val="28"/>
          <w:lang w:val="es-ES"/>
        </w:rPr>
      </w:pPr>
      <w:r>
        <w:rPr>
          <w:szCs w:val="28"/>
          <w:lang w:val="es-ES"/>
        </w:rPr>
        <w:t>B.</w:t>
      </w:r>
      <w:r>
        <w:rPr>
          <w:szCs w:val="28"/>
          <w:lang w:val="es-ES"/>
        </w:rPr>
        <w:tab/>
      </w:r>
      <w:r w:rsidR="001E4509">
        <w:rPr>
          <w:szCs w:val="28"/>
          <w:lang w:val="es-ES"/>
        </w:rPr>
        <w:t xml:space="preserve">Pues bien, </w:t>
      </w:r>
      <w:r w:rsidR="00F62597">
        <w:rPr>
          <w:szCs w:val="28"/>
          <w:lang w:val="es-ES"/>
        </w:rPr>
        <w:t xml:space="preserve">queda por examinar el tercer </w:t>
      </w:r>
      <w:r w:rsidR="001E4509">
        <w:rPr>
          <w:szCs w:val="28"/>
          <w:lang w:val="es-ES"/>
        </w:rPr>
        <w:t xml:space="preserve">cargo </w:t>
      </w:r>
      <w:r w:rsidR="00F62597">
        <w:rPr>
          <w:szCs w:val="28"/>
          <w:lang w:val="es-ES"/>
        </w:rPr>
        <w:t xml:space="preserve">que </w:t>
      </w:r>
      <w:r>
        <w:rPr>
          <w:szCs w:val="28"/>
          <w:lang w:val="es-ES"/>
        </w:rPr>
        <w:t>apunta</w:t>
      </w:r>
      <w:r w:rsidR="001E4509">
        <w:rPr>
          <w:szCs w:val="28"/>
          <w:lang w:val="es-ES"/>
        </w:rPr>
        <w:t xml:space="preserve"> a la errónea apreciación de la demanda </w:t>
      </w:r>
      <w:r w:rsidR="00EC7759">
        <w:rPr>
          <w:szCs w:val="28"/>
          <w:lang w:val="es-ES"/>
        </w:rPr>
        <w:t xml:space="preserve">así como </w:t>
      </w:r>
      <w:r w:rsidR="00F62597">
        <w:rPr>
          <w:szCs w:val="28"/>
          <w:lang w:val="es-ES"/>
        </w:rPr>
        <w:t xml:space="preserve">a </w:t>
      </w:r>
      <w:r w:rsidR="00EC7759">
        <w:rPr>
          <w:szCs w:val="28"/>
          <w:lang w:val="es-ES"/>
        </w:rPr>
        <w:t xml:space="preserve">una suposición de prueba (términos éstos que no están en la demanda </w:t>
      </w:r>
      <w:r>
        <w:rPr>
          <w:szCs w:val="28"/>
          <w:lang w:val="es-ES"/>
        </w:rPr>
        <w:t xml:space="preserve">de casación </w:t>
      </w:r>
      <w:r w:rsidR="00EC7759">
        <w:rPr>
          <w:szCs w:val="28"/>
          <w:lang w:val="es-ES"/>
        </w:rPr>
        <w:t>pero que afloran de la misma) al dar por establecida la liquidación de la sociedad de hecho conformada por Luis Fernando Mejía y Tamer Ltda.</w:t>
      </w:r>
      <w:r>
        <w:rPr>
          <w:szCs w:val="28"/>
          <w:lang w:val="es-ES"/>
        </w:rPr>
        <w:t>,</w:t>
      </w:r>
      <w:r w:rsidR="00EC7759">
        <w:rPr>
          <w:szCs w:val="28"/>
          <w:lang w:val="es-ES"/>
        </w:rPr>
        <w:t xml:space="preserve"> </w:t>
      </w:r>
      <w:r>
        <w:rPr>
          <w:szCs w:val="28"/>
          <w:lang w:val="es-ES"/>
        </w:rPr>
        <w:t xml:space="preserve">todo </w:t>
      </w:r>
      <w:r w:rsidR="00F62597">
        <w:rPr>
          <w:szCs w:val="28"/>
          <w:lang w:val="es-ES"/>
        </w:rPr>
        <w:t xml:space="preserve">por </w:t>
      </w:r>
      <w:r w:rsidR="00EC7759">
        <w:rPr>
          <w:szCs w:val="28"/>
          <w:lang w:val="es-ES"/>
        </w:rPr>
        <w:t>desfigurar la narración que se ofrece en los hechos</w:t>
      </w:r>
      <w:r w:rsidR="005E2087">
        <w:rPr>
          <w:szCs w:val="28"/>
          <w:lang w:val="es-ES"/>
        </w:rPr>
        <w:t xml:space="preserve"> 10º, </w:t>
      </w:r>
      <w:r w:rsidR="00F62597">
        <w:rPr>
          <w:szCs w:val="28"/>
          <w:lang w:val="es-ES"/>
        </w:rPr>
        <w:t>11</w:t>
      </w:r>
      <w:r w:rsidR="005E2087">
        <w:rPr>
          <w:szCs w:val="28"/>
          <w:lang w:val="es-ES"/>
        </w:rPr>
        <w:t xml:space="preserve">º y 12º de la demanda y </w:t>
      </w:r>
      <w:r>
        <w:rPr>
          <w:szCs w:val="28"/>
          <w:lang w:val="es-ES"/>
        </w:rPr>
        <w:t xml:space="preserve">por </w:t>
      </w:r>
      <w:r w:rsidR="005E2087">
        <w:rPr>
          <w:szCs w:val="28"/>
          <w:lang w:val="es-ES"/>
        </w:rPr>
        <w:t>no existir prueba alguna de actas, protocolos, o escrituras públicas que den cuenta del cumplimiento de las formalidades establecidas para la procedencia de la disolución, esto es</w:t>
      </w:r>
      <w:r w:rsidR="00E32E41">
        <w:rPr>
          <w:szCs w:val="28"/>
          <w:lang w:val="es-ES"/>
        </w:rPr>
        <w:t>,</w:t>
      </w:r>
      <w:r w:rsidR="005E2087">
        <w:rPr>
          <w:szCs w:val="28"/>
          <w:lang w:val="es-ES"/>
        </w:rPr>
        <w:t xml:space="preserve"> su adopción por el órgano competente y la solemnización de dicha decisión mediante </w:t>
      </w:r>
      <w:r>
        <w:rPr>
          <w:szCs w:val="28"/>
          <w:lang w:val="es-ES"/>
        </w:rPr>
        <w:t>el instrumento aludido</w:t>
      </w:r>
      <w:r w:rsidR="005E2087">
        <w:rPr>
          <w:szCs w:val="28"/>
          <w:lang w:val="es-ES"/>
        </w:rPr>
        <w:t>.</w:t>
      </w:r>
    </w:p>
    <w:p w:rsidR="00E32E41" w:rsidRDefault="00E32E41" w:rsidP="004C7B94">
      <w:pPr>
        <w:spacing w:after="120"/>
        <w:ind w:firstLine="709"/>
        <w:rPr>
          <w:szCs w:val="28"/>
          <w:lang w:val="es-ES"/>
        </w:rPr>
      </w:pPr>
    </w:p>
    <w:p w:rsidR="00114185" w:rsidRDefault="00114185" w:rsidP="004C7B94">
      <w:pPr>
        <w:spacing w:after="120"/>
        <w:ind w:firstLine="709"/>
        <w:rPr>
          <w:szCs w:val="28"/>
          <w:lang w:val="es-ES"/>
        </w:rPr>
      </w:pPr>
      <w:r>
        <w:rPr>
          <w:szCs w:val="28"/>
          <w:lang w:val="es-ES"/>
        </w:rPr>
        <w:t xml:space="preserve">La legislación y la larga tradición jurisprudencial han exigido, desde siempre, que el yerro de hecho </w:t>
      </w:r>
      <w:r w:rsidR="002D2C12">
        <w:rPr>
          <w:szCs w:val="28"/>
          <w:lang w:val="es-ES"/>
        </w:rPr>
        <w:t>de que se acuse al tribunal en la apreciación de determinada prueba deba ser manifiesto o evidente, es decir, que se “imponga al primer golpe de vista”. De otro modo, invadiría la Corte la esfera natural de acción de l</w:t>
      </w:r>
      <w:r w:rsidR="001D0A80">
        <w:rPr>
          <w:szCs w:val="28"/>
          <w:lang w:val="es-ES"/>
        </w:rPr>
        <w:t xml:space="preserve">as instancias, en donde el </w:t>
      </w:r>
      <w:r w:rsidR="001D0A80" w:rsidRPr="001D0A80">
        <w:rPr>
          <w:i/>
          <w:szCs w:val="28"/>
          <w:lang w:val="es-ES"/>
        </w:rPr>
        <w:t>a quo</w:t>
      </w:r>
      <w:r w:rsidR="001D0A80">
        <w:rPr>
          <w:szCs w:val="28"/>
          <w:lang w:val="es-ES"/>
        </w:rPr>
        <w:t xml:space="preserve"> y el </w:t>
      </w:r>
      <w:r w:rsidR="001D0A80" w:rsidRPr="001D0A80">
        <w:rPr>
          <w:i/>
          <w:szCs w:val="28"/>
          <w:lang w:val="es-ES"/>
        </w:rPr>
        <w:t>ad quem</w:t>
      </w:r>
      <w:r w:rsidR="002D2C12">
        <w:rPr>
          <w:szCs w:val="28"/>
          <w:lang w:val="es-ES"/>
        </w:rPr>
        <w:t>, por razón de su oficio, está</w:t>
      </w:r>
      <w:r w:rsidR="001D0A80">
        <w:rPr>
          <w:szCs w:val="28"/>
          <w:lang w:val="es-ES"/>
        </w:rPr>
        <w:t>n</w:t>
      </w:r>
      <w:r w:rsidR="002D2C12">
        <w:rPr>
          <w:szCs w:val="28"/>
          <w:lang w:val="es-ES"/>
        </w:rPr>
        <w:t xml:space="preserve"> llamado</w:t>
      </w:r>
      <w:r w:rsidR="001D0A80">
        <w:rPr>
          <w:szCs w:val="28"/>
          <w:lang w:val="es-ES"/>
        </w:rPr>
        <w:t>s</w:t>
      </w:r>
      <w:r w:rsidR="002D2C12">
        <w:rPr>
          <w:szCs w:val="28"/>
          <w:lang w:val="es-ES"/>
        </w:rPr>
        <w:t xml:space="preserve"> a ponderar las pruebas con una “discreta autonomía”, como la ha calificado la Corte, connotación que marca un límite entre la</w:t>
      </w:r>
      <w:r w:rsidR="001D0A80">
        <w:rPr>
          <w:szCs w:val="28"/>
          <w:lang w:val="es-ES"/>
        </w:rPr>
        <w:t>s</w:t>
      </w:r>
      <w:r w:rsidR="002D2C12">
        <w:rPr>
          <w:szCs w:val="28"/>
          <w:lang w:val="es-ES"/>
        </w:rPr>
        <w:t xml:space="preserve"> instancia</w:t>
      </w:r>
      <w:r w:rsidR="001D0A80">
        <w:rPr>
          <w:szCs w:val="28"/>
          <w:lang w:val="es-ES"/>
        </w:rPr>
        <w:t>s</w:t>
      </w:r>
      <w:r w:rsidR="00E32E41">
        <w:rPr>
          <w:szCs w:val="28"/>
          <w:lang w:val="es-ES"/>
        </w:rPr>
        <w:t xml:space="preserve"> y este</w:t>
      </w:r>
      <w:r w:rsidR="002D2C12">
        <w:rPr>
          <w:szCs w:val="28"/>
          <w:lang w:val="es-ES"/>
        </w:rPr>
        <w:t xml:space="preserve"> recurso extraordinario, que de otro modo se refundiría como </w:t>
      </w:r>
      <w:r w:rsidR="00C8218B">
        <w:rPr>
          <w:szCs w:val="28"/>
          <w:lang w:val="es-ES"/>
        </w:rPr>
        <w:t>instancia adicional del proceso.</w:t>
      </w:r>
    </w:p>
    <w:p w:rsidR="00114185" w:rsidRDefault="00114185" w:rsidP="004C7B94">
      <w:pPr>
        <w:spacing w:after="120"/>
        <w:ind w:firstLine="709"/>
        <w:rPr>
          <w:szCs w:val="28"/>
          <w:lang w:val="es-ES"/>
        </w:rPr>
      </w:pPr>
    </w:p>
    <w:p w:rsidR="004C7B94" w:rsidRDefault="00114185" w:rsidP="001D0A80">
      <w:pPr>
        <w:spacing w:after="120"/>
        <w:ind w:firstLine="709"/>
        <w:rPr>
          <w:szCs w:val="28"/>
          <w:lang w:val="es-ES"/>
        </w:rPr>
      </w:pPr>
      <w:r>
        <w:rPr>
          <w:szCs w:val="28"/>
          <w:lang w:val="es-ES"/>
        </w:rPr>
        <w:t>Del cotejo</w:t>
      </w:r>
      <w:r w:rsidR="001D0A80">
        <w:rPr>
          <w:szCs w:val="28"/>
          <w:lang w:val="es-ES"/>
        </w:rPr>
        <w:t xml:space="preserve"> que debe hacerse a efectos de que aflore el dislate sin mayores raciocinios (si estos son necesarios parece entonces que el yerro no es manifiesto), encuentra la Corte </w:t>
      </w:r>
      <w:r w:rsidR="0067638B">
        <w:rPr>
          <w:szCs w:val="28"/>
          <w:lang w:val="es-ES"/>
        </w:rPr>
        <w:t>en</w:t>
      </w:r>
      <w:r w:rsidR="001D0A80">
        <w:rPr>
          <w:szCs w:val="28"/>
          <w:lang w:val="es-ES"/>
        </w:rPr>
        <w:t xml:space="preserve"> la lectura de los hechos 10º, 11° y 12º de la demanda, y </w:t>
      </w:r>
      <w:r w:rsidR="0067638B">
        <w:rPr>
          <w:szCs w:val="28"/>
          <w:lang w:val="es-ES"/>
        </w:rPr>
        <w:t xml:space="preserve">con </w:t>
      </w:r>
      <w:r w:rsidR="001D0A80">
        <w:rPr>
          <w:szCs w:val="28"/>
          <w:lang w:val="es-ES"/>
        </w:rPr>
        <w:t>lo anotado</w:t>
      </w:r>
      <w:r w:rsidR="0067638B">
        <w:rPr>
          <w:szCs w:val="28"/>
          <w:lang w:val="es-ES"/>
        </w:rPr>
        <w:t xml:space="preserve"> en la pretensión 9ª de la </w:t>
      </w:r>
      <w:r w:rsidR="00E32E41">
        <w:rPr>
          <w:szCs w:val="28"/>
          <w:lang w:val="es-ES"/>
        </w:rPr>
        <w:t>misma</w:t>
      </w:r>
      <w:r w:rsidR="0067638B">
        <w:rPr>
          <w:szCs w:val="28"/>
          <w:lang w:val="es-ES"/>
        </w:rPr>
        <w:t xml:space="preserve">, que contrario a lo aseverado por los impugnantes, racionalmente puede colegirse que la parte actora admitió que la sociedad de hecho de Tamer ltda. con Luis Fernando </w:t>
      </w:r>
      <w:r w:rsidR="0018739B">
        <w:rPr>
          <w:szCs w:val="28"/>
          <w:lang w:val="es-ES"/>
        </w:rPr>
        <w:t>Mejía Otero se había liquidado en 199</w:t>
      </w:r>
      <w:r w:rsidR="00521B30">
        <w:rPr>
          <w:szCs w:val="28"/>
          <w:lang w:val="es-ES"/>
        </w:rPr>
        <w:t>4</w:t>
      </w:r>
      <w:r w:rsidR="0018739B">
        <w:rPr>
          <w:szCs w:val="28"/>
          <w:lang w:val="es-ES"/>
        </w:rPr>
        <w:t>. Se dice</w:t>
      </w:r>
      <w:r w:rsidR="004C7B94">
        <w:rPr>
          <w:szCs w:val="28"/>
          <w:lang w:val="es-ES"/>
        </w:rPr>
        <w:t xml:space="preserve"> literalmente, lo siguiente, con subrayas que la Corte introduce en el texto</w:t>
      </w:r>
      <w:r w:rsidR="00521B30">
        <w:rPr>
          <w:szCs w:val="28"/>
          <w:lang w:val="es-ES"/>
        </w:rPr>
        <w:t>, para dejar gráficamente asentado esa razonable inferencia:</w:t>
      </w:r>
    </w:p>
    <w:p w:rsidR="00624038" w:rsidRDefault="00624038" w:rsidP="001D0A80">
      <w:pPr>
        <w:spacing w:after="120"/>
        <w:ind w:firstLine="709"/>
        <w:rPr>
          <w:szCs w:val="28"/>
          <w:lang w:val="es-ES"/>
        </w:rPr>
      </w:pPr>
    </w:p>
    <w:p w:rsidR="0018739B" w:rsidRDefault="0018739B" w:rsidP="001D0A80">
      <w:pPr>
        <w:spacing w:after="120"/>
        <w:ind w:firstLine="709"/>
        <w:rPr>
          <w:szCs w:val="28"/>
          <w:lang w:val="es-ES"/>
        </w:rPr>
      </w:pPr>
      <w:r>
        <w:rPr>
          <w:szCs w:val="28"/>
          <w:lang w:val="es-ES"/>
        </w:rPr>
        <w:t>En los hechos 10º a 12º:</w:t>
      </w:r>
    </w:p>
    <w:p w:rsidR="00624038" w:rsidRDefault="00624038" w:rsidP="004C7B94">
      <w:pPr>
        <w:spacing w:after="120"/>
        <w:ind w:left="709"/>
        <w:rPr>
          <w:i/>
          <w:sz w:val="24"/>
          <w:szCs w:val="24"/>
          <w:lang w:val="es-ES"/>
        </w:rPr>
      </w:pPr>
    </w:p>
    <w:p w:rsidR="004C7B94" w:rsidRDefault="004C7B94" w:rsidP="004C7B94">
      <w:pPr>
        <w:spacing w:after="120"/>
        <w:ind w:left="709"/>
        <w:rPr>
          <w:i/>
          <w:sz w:val="24"/>
          <w:szCs w:val="24"/>
          <w:lang w:val="es-ES"/>
        </w:rPr>
      </w:pPr>
      <w:r w:rsidRPr="0079150A">
        <w:rPr>
          <w:i/>
          <w:sz w:val="24"/>
          <w:szCs w:val="24"/>
          <w:lang w:val="es-ES"/>
        </w:rPr>
        <w:t>10.</w:t>
      </w:r>
      <w:r w:rsidRPr="0079150A">
        <w:rPr>
          <w:i/>
          <w:sz w:val="24"/>
          <w:szCs w:val="24"/>
          <w:lang w:val="es-ES"/>
        </w:rPr>
        <w:tab/>
        <w:t xml:space="preserve">En el año de 1994 por voluntad y a instancias de Mario Mejía Otero </w:t>
      </w:r>
      <w:r w:rsidRPr="00593E5F">
        <w:rPr>
          <w:i/>
          <w:sz w:val="24"/>
          <w:szCs w:val="24"/>
          <w:u w:val="single"/>
          <w:lang w:val="es-ES"/>
        </w:rPr>
        <w:t>se hizo una partición de las sociedades de hecho y de las sociedades legalmente constituidas</w:t>
      </w:r>
      <w:r w:rsidRPr="0079150A">
        <w:rPr>
          <w:i/>
          <w:sz w:val="24"/>
          <w:szCs w:val="24"/>
          <w:lang w:val="es-ES"/>
        </w:rPr>
        <w:t xml:space="preserve">: Reusar Ltda., Reciclar Ltda., Renco Ltda., Envacar Ltda. y Renco Ltda. en razón a que la sociedad Recolta Ltda. ya había sido liquidada en 1981 y sus activos y pasivos habían sido asumidos en su mayor parte por la sociedad Reusar Ltda., como consecuencia de dicha partición el socio Mario Mejía Otero se quedó con la totalidad de los bienes inmuebles y </w:t>
      </w:r>
      <w:r w:rsidRPr="000D4942">
        <w:rPr>
          <w:i/>
          <w:sz w:val="24"/>
          <w:szCs w:val="24"/>
          <w:u w:val="single"/>
          <w:lang w:val="es-ES"/>
        </w:rPr>
        <w:t xml:space="preserve">le entregó a mi poderdante Luis Fernando Mejía Otero a título de pago de su participación </w:t>
      </w:r>
      <w:r w:rsidRPr="00982A98">
        <w:rPr>
          <w:b/>
          <w:i/>
          <w:sz w:val="24"/>
          <w:szCs w:val="24"/>
          <w:u w:val="single"/>
          <w:lang w:val="es-ES"/>
        </w:rPr>
        <w:t>del capital</w:t>
      </w:r>
      <w:r w:rsidRPr="000D4942">
        <w:rPr>
          <w:i/>
          <w:sz w:val="24"/>
          <w:szCs w:val="24"/>
          <w:u w:val="single"/>
          <w:lang w:val="es-ES"/>
        </w:rPr>
        <w:t xml:space="preserve"> de dichas sociedades,</w:t>
      </w:r>
      <w:r w:rsidRPr="0079150A">
        <w:rPr>
          <w:i/>
          <w:sz w:val="24"/>
          <w:szCs w:val="24"/>
          <w:lang w:val="es-ES"/>
        </w:rPr>
        <w:t xml:space="preserve"> la razón social de las mismas desprovistas de todos sus activos fijos y reduci</w:t>
      </w:r>
      <w:r>
        <w:rPr>
          <w:i/>
          <w:sz w:val="24"/>
          <w:szCs w:val="24"/>
          <w:lang w:val="es-ES"/>
        </w:rPr>
        <w:t>dos</w:t>
      </w:r>
      <w:r w:rsidRPr="0079150A">
        <w:rPr>
          <w:i/>
          <w:sz w:val="24"/>
          <w:szCs w:val="24"/>
          <w:lang w:val="es-ES"/>
        </w:rPr>
        <w:t xml:space="preserve"> dichos activos a unas máquinas obsoletas y hechizas para reacondicionar tambores de segunda, por consiguiente, Mario Mejía Otero </w:t>
      </w:r>
      <w:r w:rsidRPr="0018739B">
        <w:rPr>
          <w:i/>
          <w:sz w:val="24"/>
          <w:szCs w:val="24"/>
          <w:u w:val="single"/>
          <w:lang w:val="es-ES"/>
        </w:rPr>
        <w:t>se quedó</w:t>
      </w:r>
      <w:r w:rsidRPr="0079150A">
        <w:rPr>
          <w:i/>
          <w:sz w:val="24"/>
          <w:szCs w:val="24"/>
          <w:lang w:val="es-ES"/>
        </w:rPr>
        <w:t xml:space="preserve"> con los activos de valor y Luis Fernando Mejía Otero con el cascarón de la sociedades sin valor alguno y todos los pasivos, lo que evidentemente constituyó una partición absolutamente desproporcionada e inequitativa que afectó de manera grave de los intereses patrimoniales de mi poderdante.</w:t>
      </w:r>
    </w:p>
    <w:p w:rsidR="0018739B" w:rsidRPr="0079150A" w:rsidRDefault="00F22FCD" w:rsidP="004C7B94">
      <w:pPr>
        <w:spacing w:after="120"/>
        <w:ind w:left="709"/>
        <w:rPr>
          <w:i/>
          <w:sz w:val="24"/>
          <w:szCs w:val="24"/>
          <w:lang w:val="es-ES"/>
        </w:rPr>
      </w:pPr>
      <w:r>
        <w:rPr>
          <w:i/>
          <w:sz w:val="24"/>
          <w:szCs w:val="24"/>
          <w:lang w:val="es-ES"/>
        </w:rPr>
        <w:t>11.</w:t>
      </w:r>
      <w:r>
        <w:rPr>
          <w:i/>
          <w:sz w:val="24"/>
          <w:szCs w:val="24"/>
          <w:lang w:val="es-ES"/>
        </w:rPr>
        <w:tab/>
        <w:t>La sociedad de hecho conformada entre Luis Fernando Mejía Otero y Tamer Ltda., operaba el mercado de producción y comercialización de tambores metálicos nuevos, mercado que fue vendido por la sociedad Tamer Ltda., a sus competidores Metalibec y Van Leer S.A. , por la suma de USS800,000 dólares en el año de 1994 con el compromiso de ceder toda la clientela y de no ejercer competencia futura, de dicha suma Luis Fernando Mejía Otero no recibió un sólo peso y Mario Mejía Otero se apropió de los USS800,000</w:t>
      </w:r>
      <w:r w:rsidR="00624038">
        <w:rPr>
          <w:i/>
          <w:sz w:val="24"/>
          <w:szCs w:val="24"/>
          <w:lang w:val="es-ES"/>
        </w:rPr>
        <w:t xml:space="preserve"> dólares y se reservó para si la razón social Tamer Ltda., con sus activos y pasivos; capital que en buena parte le fue inyectado a la sociedad Colempaques Ltda., y el resto se destinó para construir una casa de recreo en el municipio de Villa de Leiva, predio que fue adquirido a nombre de Mario Mejía Otero.</w:t>
      </w:r>
    </w:p>
    <w:p w:rsidR="004C7B94" w:rsidRDefault="004C7B94" w:rsidP="004C7B94">
      <w:pPr>
        <w:spacing w:after="120"/>
        <w:ind w:left="709"/>
        <w:rPr>
          <w:szCs w:val="28"/>
          <w:lang w:val="es-ES"/>
        </w:rPr>
      </w:pPr>
      <w:r w:rsidRPr="0079150A">
        <w:rPr>
          <w:i/>
          <w:sz w:val="24"/>
          <w:szCs w:val="24"/>
          <w:lang w:val="es-ES"/>
        </w:rPr>
        <w:t>12.</w:t>
      </w:r>
      <w:r w:rsidRPr="0079150A">
        <w:rPr>
          <w:i/>
          <w:sz w:val="24"/>
          <w:szCs w:val="24"/>
          <w:lang w:val="es-ES"/>
        </w:rPr>
        <w:tab/>
      </w:r>
      <w:r w:rsidRPr="00982A98">
        <w:rPr>
          <w:i/>
          <w:sz w:val="24"/>
          <w:szCs w:val="24"/>
          <w:lang w:val="es-ES"/>
        </w:rPr>
        <w:t>Como lo señalé precedentemente</w:t>
      </w:r>
      <w:r w:rsidRPr="00593E5F">
        <w:rPr>
          <w:i/>
          <w:sz w:val="24"/>
          <w:szCs w:val="24"/>
          <w:u w:val="single"/>
          <w:lang w:val="es-ES"/>
        </w:rPr>
        <w:t xml:space="preserve"> de la partición que se hizo en 1994 para </w:t>
      </w:r>
      <w:r w:rsidRPr="00624038">
        <w:rPr>
          <w:b/>
          <w:i/>
          <w:sz w:val="24"/>
          <w:szCs w:val="24"/>
          <w:u w:val="single"/>
          <w:lang w:val="es-ES"/>
        </w:rPr>
        <w:t>liquidar la participación</w:t>
      </w:r>
      <w:r w:rsidRPr="00593E5F">
        <w:rPr>
          <w:i/>
          <w:sz w:val="24"/>
          <w:szCs w:val="24"/>
          <w:u w:val="single"/>
          <w:lang w:val="es-ES"/>
        </w:rPr>
        <w:t xml:space="preserve"> de Luis Fernando Mejía Otero y Mario Mejía Otero en las distintas sociedades, tanto las legalmente constituidas como las de hecho</w:t>
      </w:r>
      <w:r w:rsidRPr="0079150A">
        <w:rPr>
          <w:i/>
          <w:sz w:val="24"/>
          <w:szCs w:val="24"/>
          <w:lang w:val="es-ES"/>
        </w:rPr>
        <w:t xml:space="preserve"> sólo le quedaron a Luis Fernando Mejía Otero las razones sociales sin activos ni pasivos importantes y con utilidades irrisorias, de esta repartición no quedó constancia alguna, ni actas de juntas de socios, ni acuerdos, ni protocolos, porque nunca la partición planteada por Mario Mejía Otero estuvo acompañada de un proceso de liquidación formal de dichas sociedades</w:t>
      </w:r>
      <w:r>
        <w:rPr>
          <w:szCs w:val="28"/>
          <w:lang w:val="es-ES"/>
        </w:rPr>
        <w:t>”.</w:t>
      </w:r>
    </w:p>
    <w:p w:rsidR="005E2087" w:rsidRDefault="005E2087" w:rsidP="00194D3B">
      <w:pPr>
        <w:spacing w:after="120"/>
        <w:ind w:firstLine="709"/>
        <w:rPr>
          <w:szCs w:val="28"/>
          <w:lang w:val="es-ES"/>
        </w:rPr>
      </w:pPr>
    </w:p>
    <w:p w:rsidR="00F22FCD" w:rsidRDefault="00F22FCD" w:rsidP="00194D3B">
      <w:pPr>
        <w:spacing w:after="120"/>
        <w:ind w:firstLine="709"/>
        <w:rPr>
          <w:szCs w:val="28"/>
          <w:lang w:val="es-ES"/>
        </w:rPr>
      </w:pPr>
      <w:r>
        <w:rPr>
          <w:szCs w:val="28"/>
          <w:lang w:val="es-ES"/>
        </w:rPr>
        <w:t>Y en la pretensión novena:</w:t>
      </w:r>
    </w:p>
    <w:p w:rsidR="00624038" w:rsidRDefault="00624038" w:rsidP="00F22FCD">
      <w:pPr>
        <w:ind w:left="709"/>
        <w:rPr>
          <w:sz w:val="24"/>
          <w:szCs w:val="24"/>
        </w:rPr>
      </w:pPr>
    </w:p>
    <w:p w:rsidR="00596E72" w:rsidRPr="00F22FCD" w:rsidRDefault="00596E72" w:rsidP="00F22FCD">
      <w:pPr>
        <w:ind w:left="709"/>
        <w:rPr>
          <w:sz w:val="24"/>
          <w:szCs w:val="24"/>
        </w:rPr>
      </w:pPr>
      <w:r w:rsidRPr="00F22FCD">
        <w:rPr>
          <w:sz w:val="24"/>
          <w:szCs w:val="24"/>
        </w:rPr>
        <w:t>“</w:t>
      </w:r>
      <w:r w:rsidRPr="00F22FCD">
        <w:rPr>
          <w:i/>
          <w:sz w:val="24"/>
          <w:szCs w:val="24"/>
        </w:rPr>
        <w:t xml:space="preserve">Que se declare que </w:t>
      </w:r>
      <w:r w:rsidRPr="00624038">
        <w:rPr>
          <w:i/>
          <w:sz w:val="24"/>
          <w:szCs w:val="24"/>
          <w:u w:val="single"/>
        </w:rPr>
        <w:t>al hacerse la liquidación de las sociedades de hecho a las que hice referencia en el capítulo de hechos</w:t>
      </w:r>
      <w:r w:rsidRPr="00F22FCD">
        <w:rPr>
          <w:i/>
          <w:sz w:val="24"/>
          <w:szCs w:val="24"/>
        </w:rPr>
        <w:t xml:space="preserve"> y en las pretensiones, y de las sociedades legalmente constituidas REUSAR LTDA., RECICLAR LTDA., RENA LTDA., ENVACAR LTDA. y RENCO LTDA., el socio Mario Mejía Otero así como las sociedades que fueron parte de las sociedades de hecho referidas, ya sea en forma directa o a través de terceras personas naturales o jurídicas vinculadas se apropiaron indebidamente sin que existiera justo título ni causa legal de los siguientes bienes inmuebles</w:t>
      </w:r>
      <w:r w:rsidRPr="00F22FCD">
        <w:rPr>
          <w:sz w:val="24"/>
          <w:szCs w:val="24"/>
        </w:rPr>
        <w:t>:” (f. 383, c. 1)</w:t>
      </w:r>
    </w:p>
    <w:p w:rsidR="003D517E" w:rsidRDefault="003D517E" w:rsidP="009F7E87">
      <w:pPr>
        <w:spacing w:after="120"/>
        <w:ind w:firstLine="709"/>
        <w:rPr>
          <w:szCs w:val="28"/>
        </w:rPr>
      </w:pPr>
    </w:p>
    <w:p w:rsidR="008B23F6" w:rsidRDefault="00A045EC" w:rsidP="00DD2CCA">
      <w:pPr>
        <w:spacing w:after="120"/>
        <w:ind w:firstLine="709"/>
        <w:rPr>
          <w:szCs w:val="28"/>
        </w:rPr>
      </w:pPr>
      <w:r>
        <w:rPr>
          <w:szCs w:val="28"/>
        </w:rPr>
        <w:t xml:space="preserve">Ya en lo concerniente a la suposición de prueba de que se acusa al Tribunal por no existir escritura alguna </w:t>
      </w:r>
      <w:r w:rsidR="00DD2CCA">
        <w:rPr>
          <w:szCs w:val="28"/>
        </w:rPr>
        <w:t xml:space="preserve">o </w:t>
      </w:r>
      <w:r>
        <w:rPr>
          <w:szCs w:val="28"/>
        </w:rPr>
        <w:t xml:space="preserve">copia de actas </w:t>
      </w:r>
      <w:r w:rsidR="00DD2CCA">
        <w:rPr>
          <w:szCs w:val="28"/>
        </w:rPr>
        <w:t>de junta</w:t>
      </w:r>
      <w:r>
        <w:rPr>
          <w:szCs w:val="28"/>
        </w:rPr>
        <w:t xml:space="preserve"> donde quede constancia de la disolución o de la liquidación de esa sociedad de hecho, deben darse por reproducidas las explicaciones </w:t>
      </w:r>
      <w:r w:rsidR="009B3389">
        <w:rPr>
          <w:szCs w:val="28"/>
        </w:rPr>
        <w:t xml:space="preserve">que </w:t>
      </w:r>
      <w:r w:rsidR="00DD2CCA">
        <w:rPr>
          <w:szCs w:val="28"/>
        </w:rPr>
        <w:t>a</w:t>
      </w:r>
      <w:r>
        <w:rPr>
          <w:szCs w:val="28"/>
        </w:rPr>
        <w:t xml:space="preserve">l comienzo de estas consideraciones </w:t>
      </w:r>
      <w:r w:rsidR="00E32E41">
        <w:rPr>
          <w:szCs w:val="28"/>
        </w:rPr>
        <w:t xml:space="preserve">se dejaron </w:t>
      </w:r>
      <w:r w:rsidR="009B3389">
        <w:rPr>
          <w:szCs w:val="28"/>
        </w:rPr>
        <w:t xml:space="preserve">establecidas </w:t>
      </w:r>
      <w:r>
        <w:rPr>
          <w:szCs w:val="28"/>
        </w:rPr>
        <w:t xml:space="preserve">y que en síntesis, apuntan a descartar la necesidad de que la disolución </w:t>
      </w:r>
      <w:r w:rsidR="00DD2CCA">
        <w:rPr>
          <w:szCs w:val="28"/>
        </w:rPr>
        <w:t xml:space="preserve">y liquidación </w:t>
      </w:r>
      <w:r>
        <w:rPr>
          <w:szCs w:val="28"/>
        </w:rPr>
        <w:t xml:space="preserve">de una sociedad de hecho </w:t>
      </w:r>
      <w:r w:rsidR="00DD2CCA">
        <w:rPr>
          <w:szCs w:val="28"/>
        </w:rPr>
        <w:t>se adopte con el cumplimiento de las formalidades previstas en la legislación mercantil para la sociedades legalmente constituidas, esto es, para aquellas que nacieron a la vida jurídica en virtud de escritura pública inscrita en el registro mercantil de la Cámara de Comercio correspondiente al lugar de su domicilio social.</w:t>
      </w:r>
    </w:p>
    <w:p w:rsidR="00DD2CCA" w:rsidRDefault="00DD2CCA" w:rsidP="00DD2CCA">
      <w:pPr>
        <w:spacing w:after="120"/>
        <w:ind w:firstLine="709"/>
        <w:rPr>
          <w:szCs w:val="28"/>
        </w:rPr>
      </w:pPr>
    </w:p>
    <w:p w:rsidR="00DD2CCA" w:rsidRPr="00DD2CCA" w:rsidRDefault="00DD2CCA" w:rsidP="00DD2CCA">
      <w:pPr>
        <w:spacing w:after="120"/>
        <w:ind w:firstLine="709"/>
        <w:rPr>
          <w:szCs w:val="28"/>
        </w:rPr>
      </w:pPr>
      <w:r>
        <w:rPr>
          <w:szCs w:val="28"/>
        </w:rPr>
        <w:t>Las anteriores consideraciones son suficientes para concluir que ninguno de los cargos se abre paso.</w:t>
      </w:r>
    </w:p>
    <w:p w:rsidR="00F538D9" w:rsidRDefault="00F538D9" w:rsidP="009F7E87">
      <w:pPr>
        <w:spacing w:after="120"/>
        <w:ind w:firstLine="709"/>
        <w:rPr>
          <w:szCs w:val="28"/>
          <w:lang w:val="es-ES"/>
        </w:rPr>
      </w:pPr>
    </w:p>
    <w:p w:rsidR="00096E05" w:rsidRPr="00096E05" w:rsidRDefault="00096E05" w:rsidP="00096E05">
      <w:pPr>
        <w:ind w:firstLine="709"/>
        <w:jc w:val="center"/>
        <w:rPr>
          <w:b/>
        </w:rPr>
      </w:pPr>
      <w:r w:rsidRPr="00096E05">
        <w:rPr>
          <w:b/>
        </w:rPr>
        <w:t>DECISIÓN</w:t>
      </w:r>
    </w:p>
    <w:p w:rsidR="00096E05" w:rsidRPr="00096E05" w:rsidRDefault="00096E05" w:rsidP="00096E05">
      <w:pPr>
        <w:ind w:firstLine="709"/>
      </w:pPr>
    </w:p>
    <w:p w:rsidR="00096E05" w:rsidRDefault="00096E05" w:rsidP="00096E05">
      <w:pPr>
        <w:ind w:firstLine="709"/>
        <w:rPr>
          <w:szCs w:val="28"/>
        </w:rPr>
      </w:pPr>
      <w:r w:rsidRPr="00096E05">
        <w:t xml:space="preserve">En mérito de lo discurrido, la Corte Suprema de Justicia, Sala de Casación Civil, administrando justicia en nombre de la </w:t>
      </w:r>
      <w:r w:rsidR="007450AD" w:rsidRPr="00096E05">
        <w:t xml:space="preserve">República </w:t>
      </w:r>
      <w:r w:rsidRPr="00096E05">
        <w:t>de Colombia y por autoridad de la ley,  NO CASA la sentencia</w:t>
      </w:r>
      <w:r>
        <w:t xml:space="preserve"> anticipada de la Sala Civil del </w:t>
      </w:r>
      <w:r w:rsidRPr="00096E05">
        <w:t xml:space="preserve">Tribunal Superior de Bogotá, </w:t>
      </w:r>
      <w:r>
        <w:rPr>
          <w:szCs w:val="28"/>
        </w:rPr>
        <w:t xml:space="preserve">de fecha 9 de agosto de 2013, en el proceso de </w:t>
      </w:r>
      <w:r w:rsidRPr="00096E05">
        <w:rPr>
          <w:szCs w:val="28"/>
        </w:rPr>
        <w:t xml:space="preserve">Luis Fernando Mejía Otero y la sociedad Reusar Ltda. contra María Fernanda Mejía Parra, Jorge Mario Mejía Parra, Miguel Antonio Mejía Borrero, Jacqueline Borrero Martelo, Graciela Parra de Mejía, Mario Mejía Otero, María del Carmen Ospina Pérez, Mejía Parra Otero y Compañía S. en C. en liquidación, Suramericana de Transportes S.A., Tamer Ltda. y Colempaques S.A.S. </w:t>
      </w:r>
    </w:p>
    <w:p w:rsidR="00096E05" w:rsidRDefault="00096E05" w:rsidP="00096E05">
      <w:pPr>
        <w:ind w:firstLine="709"/>
        <w:rPr>
          <w:szCs w:val="28"/>
        </w:rPr>
      </w:pPr>
    </w:p>
    <w:p w:rsidR="00E034D7" w:rsidRPr="00E034D7" w:rsidRDefault="00E034D7" w:rsidP="00E034D7">
      <w:pPr>
        <w:ind w:firstLine="708"/>
        <w:rPr>
          <w:rFonts w:eastAsia="Calibri"/>
          <w:szCs w:val="28"/>
          <w:lang w:val="es-CO" w:eastAsia="es-CO"/>
        </w:rPr>
      </w:pPr>
      <w:r w:rsidRPr="00E034D7">
        <w:rPr>
          <w:rFonts w:eastAsia="Calibri"/>
          <w:szCs w:val="28"/>
          <w:lang w:val="es-CO" w:eastAsia="es-CO"/>
        </w:rPr>
        <w:t xml:space="preserve">Costas a cargo de la parte recurrente. Conforme lo previene la Ley 1395 de 2010, se fija por concepto de agencias en derecho la suma de $3.000.000.oo., </w:t>
      </w:r>
      <w:r>
        <w:rPr>
          <w:rFonts w:eastAsia="Calibri"/>
          <w:szCs w:val="28"/>
          <w:lang w:val="es-CO" w:eastAsia="es-CO"/>
        </w:rPr>
        <w:t xml:space="preserve">en favor de los demandados que hicieron presencia </w:t>
      </w:r>
      <w:r w:rsidRPr="00E034D7">
        <w:rPr>
          <w:rFonts w:eastAsia="Calibri"/>
          <w:szCs w:val="28"/>
          <w:lang w:val="es-CO" w:eastAsia="es-CO"/>
        </w:rPr>
        <w:t>en este trámite, dando respuesta al recurso.</w:t>
      </w:r>
      <w:r>
        <w:rPr>
          <w:rFonts w:eastAsia="Calibri"/>
          <w:szCs w:val="28"/>
          <w:lang w:val="es-CO" w:eastAsia="es-CO"/>
        </w:rPr>
        <w:t xml:space="preserve"> </w:t>
      </w:r>
    </w:p>
    <w:p w:rsidR="00096E05" w:rsidRPr="00E034D7" w:rsidRDefault="00096E05" w:rsidP="00096E05">
      <w:pPr>
        <w:ind w:firstLine="709"/>
        <w:rPr>
          <w:szCs w:val="28"/>
          <w:lang w:val="es-CO"/>
        </w:rPr>
      </w:pPr>
    </w:p>
    <w:p w:rsidR="00266CC0" w:rsidRPr="009F7E87" w:rsidRDefault="00266CC0" w:rsidP="009F7E87">
      <w:pPr>
        <w:spacing w:after="120"/>
        <w:ind w:firstLine="709"/>
        <w:rPr>
          <w:szCs w:val="28"/>
          <w:lang w:val="es-ES"/>
        </w:rPr>
      </w:pPr>
      <w:r w:rsidRPr="009F7E87">
        <w:rPr>
          <w:szCs w:val="28"/>
          <w:lang w:val="es-ES"/>
        </w:rPr>
        <w:t>Cópiese, notifíquese y, en su momento, devuélvase.</w:t>
      </w:r>
    </w:p>
    <w:p w:rsidR="00720E8F" w:rsidRDefault="00266CC0" w:rsidP="00720E8F">
      <w:pPr>
        <w:spacing w:after="120"/>
        <w:ind w:firstLine="1"/>
        <w:jc w:val="center"/>
        <w:rPr>
          <w:szCs w:val="28"/>
          <w:lang w:val="es-ES"/>
        </w:rPr>
      </w:pPr>
      <w:r w:rsidRPr="009F7E87">
        <w:rPr>
          <w:szCs w:val="28"/>
          <w:lang w:val="es-ES"/>
        </w:rPr>
        <w:tab/>
      </w:r>
      <w:r w:rsidRPr="009F7E87">
        <w:rPr>
          <w:szCs w:val="28"/>
          <w:lang w:val="es-ES"/>
        </w:rPr>
        <w:tab/>
      </w:r>
    </w:p>
    <w:p w:rsidR="00E421B8" w:rsidRDefault="00E421B8" w:rsidP="00720E8F">
      <w:pPr>
        <w:spacing w:after="120"/>
        <w:ind w:firstLine="1"/>
        <w:jc w:val="center"/>
        <w:rPr>
          <w:szCs w:val="28"/>
          <w:lang w:val="es-ES"/>
        </w:rPr>
      </w:pPr>
    </w:p>
    <w:p w:rsidR="00E421B8" w:rsidRDefault="00E421B8" w:rsidP="00720E8F">
      <w:pPr>
        <w:spacing w:after="120"/>
        <w:ind w:firstLine="1"/>
        <w:jc w:val="center"/>
        <w:rPr>
          <w:szCs w:val="28"/>
          <w:lang w:val="es-ES"/>
        </w:rPr>
      </w:pPr>
    </w:p>
    <w:p w:rsidR="00E421B8" w:rsidRDefault="00E421B8" w:rsidP="00720E8F">
      <w:pPr>
        <w:spacing w:after="120"/>
        <w:ind w:firstLine="1"/>
        <w:jc w:val="center"/>
        <w:rPr>
          <w:szCs w:val="28"/>
          <w:lang w:val="es-ES"/>
        </w:rPr>
      </w:pPr>
    </w:p>
    <w:p w:rsidR="00C3463F" w:rsidRPr="00720E8F" w:rsidRDefault="00720E8F" w:rsidP="00720E8F">
      <w:pPr>
        <w:spacing w:after="120"/>
        <w:ind w:firstLine="1"/>
        <w:jc w:val="center"/>
        <w:rPr>
          <w:b/>
          <w:szCs w:val="28"/>
          <w:lang w:val="es-ES"/>
        </w:rPr>
      </w:pPr>
      <w:r>
        <w:rPr>
          <w:b/>
          <w:szCs w:val="28"/>
          <w:lang w:val="es-ES"/>
        </w:rPr>
        <w:t>AROLDO WILSON QUIROZ MONSALVO</w:t>
      </w:r>
    </w:p>
    <w:p w:rsidR="006E4A69" w:rsidRDefault="006E4A69" w:rsidP="00266CC0">
      <w:pPr>
        <w:spacing w:after="120"/>
        <w:ind w:firstLine="1"/>
        <w:jc w:val="center"/>
        <w:rPr>
          <w:b/>
          <w:szCs w:val="28"/>
          <w:lang w:val="es-ES"/>
        </w:rPr>
      </w:pPr>
      <w:r w:rsidRPr="006E4A69">
        <w:rPr>
          <w:b/>
          <w:szCs w:val="28"/>
          <w:lang w:val="es-ES"/>
        </w:rPr>
        <w:t>Presidente</w:t>
      </w:r>
    </w:p>
    <w:p w:rsidR="00E421B8" w:rsidRDefault="00E421B8" w:rsidP="00266CC0">
      <w:pPr>
        <w:spacing w:after="120"/>
        <w:ind w:firstLine="1"/>
        <w:jc w:val="center"/>
        <w:rPr>
          <w:b/>
          <w:szCs w:val="28"/>
          <w:lang w:val="es-ES"/>
        </w:rPr>
      </w:pPr>
    </w:p>
    <w:p w:rsidR="00E421B8" w:rsidRDefault="00E421B8" w:rsidP="00266CC0">
      <w:pPr>
        <w:spacing w:after="120"/>
        <w:ind w:firstLine="1"/>
        <w:jc w:val="center"/>
        <w:rPr>
          <w:b/>
          <w:szCs w:val="28"/>
          <w:lang w:val="es-ES"/>
        </w:rPr>
      </w:pPr>
    </w:p>
    <w:p w:rsidR="00E421B8" w:rsidRPr="006E4A69" w:rsidRDefault="00E421B8" w:rsidP="00266CC0">
      <w:pPr>
        <w:spacing w:after="120"/>
        <w:ind w:firstLine="1"/>
        <w:jc w:val="center"/>
        <w:rPr>
          <w:b/>
          <w:szCs w:val="28"/>
          <w:lang w:val="es-ES"/>
        </w:rPr>
      </w:pPr>
    </w:p>
    <w:p w:rsidR="00266CC0" w:rsidRDefault="00266CC0" w:rsidP="00266CC0">
      <w:pPr>
        <w:spacing w:after="120"/>
        <w:ind w:firstLine="1"/>
        <w:jc w:val="center"/>
        <w:rPr>
          <w:b/>
          <w:szCs w:val="28"/>
          <w:lang w:val="es-ES"/>
        </w:rPr>
      </w:pPr>
      <w:r w:rsidRPr="006E4A69">
        <w:rPr>
          <w:b/>
          <w:szCs w:val="28"/>
          <w:lang w:val="es-ES"/>
        </w:rPr>
        <w:t>MARGARITA CABELLO BLANCO</w:t>
      </w:r>
    </w:p>
    <w:p w:rsidR="00E421B8" w:rsidRDefault="00E421B8" w:rsidP="00266CC0">
      <w:pPr>
        <w:spacing w:after="120"/>
        <w:ind w:firstLine="1"/>
        <w:jc w:val="center"/>
        <w:rPr>
          <w:b/>
          <w:szCs w:val="28"/>
          <w:lang w:val="es-ES"/>
        </w:rPr>
      </w:pPr>
    </w:p>
    <w:p w:rsidR="00E421B8" w:rsidRDefault="00E421B8" w:rsidP="00266CC0">
      <w:pPr>
        <w:spacing w:after="120"/>
        <w:ind w:firstLine="1"/>
        <w:jc w:val="center"/>
        <w:rPr>
          <w:b/>
          <w:szCs w:val="28"/>
          <w:lang w:val="es-ES"/>
        </w:rPr>
      </w:pPr>
    </w:p>
    <w:p w:rsidR="00E421B8" w:rsidRDefault="00E421B8" w:rsidP="00266CC0">
      <w:pPr>
        <w:spacing w:after="120"/>
        <w:ind w:firstLine="1"/>
        <w:jc w:val="center"/>
        <w:rPr>
          <w:b/>
          <w:szCs w:val="28"/>
          <w:lang w:val="es-ES"/>
        </w:rPr>
      </w:pPr>
    </w:p>
    <w:p w:rsidR="00C3463F" w:rsidRDefault="00C3463F" w:rsidP="00266CC0">
      <w:pPr>
        <w:spacing w:after="120"/>
        <w:ind w:firstLine="1"/>
        <w:jc w:val="center"/>
        <w:rPr>
          <w:b/>
          <w:szCs w:val="28"/>
          <w:lang w:val="es-ES"/>
        </w:rPr>
      </w:pPr>
      <w:r w:rsidRPr="00C3463F">
        <w:rPr>
          <w:b/>
          <w:szCs w:val="28"/>
          <w:lang w:val="es-ES"/>
        </w:rPr>
        <w:t>ALVARO FERNANDO GARCÍA RESTREPO</w:t>
      </w:r>
    </w:p>
    <w:p w:rsidR="00E421B8" w:rsidRDefault="00E421B8" w:rsidP="00266CC0">
      <w:pPr>
        <w:spacing w:after="120"/>
        <w:ind w:firstLine="1"/>
        <w:jc w:val="center"/>
        <w:rPr>
          <w:b/>
          <w:szCs w:val="28"/>
          <w:lang w:val="es-ES"/>
        </w:rPr>
      </w:pPr>
    </w:p>
    <w:p w:rsidR="00E421B8" w:rsidRDefault="00E421B8" w:rsidP="00266CC0">
      <w:pPr>
        <w:spacing w:after="120"/>
        <w:ind w:firstLine="1"/>
        <w:jc w:val="center"/>
        <w:rPr>
          <w:b/>
          <w:szCs w:val="28"/>
          <w:lang w:val="es-ES"/>
        </w:rPr>
      </w:pPr>
    </w:p>
    <w:p w:rsidR="00E421B8" w:rsidRDefault="00E421B8" w:rsidP="00266CC0">
      <w:pPr>
        <w:spacing w:after="120"/>
        <w:ind w:firstLine="1"/>
        <w:jc w:val="center"/>
        <w:rPr>
          <w:b/>
          <w:szCs w:val="28"/>
          <w:lang w:val="es-ES"/>
        </w:rPr>
      </w:pPr>
    </w:p>
    <w:p w:rsidR="00E421B8" w:rsidRDefault="00E421B8" w:rsidP="00266CC0">
      <w:pPr>
        <w:spacing w:after="120"/>
        <w:ind w:firstLine="1"/>
        <w:jc w:val="center"/>
        <w:rPr>
          <w:b/>
          <w:szCs w:val="28"/>
          <w:lang w:val="es-ES"/>
        </w:rPr>
      </w:pPr>
    </w:p>
    <w:p w:rsidR="00720E8F" w:rsidRDefault="00720E8F" w:rsidP="00720E8F">
      <w:pPr>
        <w:spacing w:after="120"/>
        <w:ind w:firstLine="1"/>
        <w:jc w:val="center"/>
        <w:rPr>
          <w:b/>
          <w:szCs w:val="28"/>
          <w:lang w:val="es-ES"/>
        </w:rPr>
      </w:pPr>
      <w:r>
        <w:rPr>
          <w:b/>
          <w:szCs w:val="28"/>
          <w:lang w:val="es-ES"/>
        </w:rPr>
        <w:t>LUIS ALONSO RICO PUERTA</w:t>
      </w:r>
    </w:p>
    <w:p w:rsidR="00E421B8" w:rsidRDefault="00E421B8" w:rsidP="00720E8F">
      <w:pPr>
        <w:spacing w:after="120"/>
        <w:ind w:firstLine="1"/>
        <w:jc w:val="center"/>
        <w:rPr>
          <w:b/>
          <w:szCs w:val="28"/>
          <w:lang w:val="es-ES"/>
        </w:rPr>
      </w:pPr>
    </w:p>
    <w:p w:rsidR="00E421B8" w:rsidRDefault="00E421B8" w:rsidP="00720E8F">
      <w:pPr>
        <w:spacing w:after="120"/>
        <w:ind w:firstLine="1"/>
        <w:jc w:val="center"/>
        <w:rPr>
          <w:b/>
          <w:szCs w:val="28"/>
          <w:lang w:val="es-ES"/>
        </w:rPr>
      </w:pPr>
    </w:p>
    <w:p w:rsidR="00E421B8" w:rsidRDefault="00E421B8" w:rsidP="00720E8F">
      <w:pPr>
        <w:spacing w:after="120"/>
        <w:ind w:firstLine="1"/>
        <w:jc w:val="center"/>
        <w:rPr>
          <w:b/>
          <w:szCs w:val="28"/>
          <w:lang w:val="es-ES"/>
        </w:rPr>
      </w:pPr>
    </w:p>
    <w:p w:rsidR="00C335B5" w:rsidRDefault="00266CC0" w:rsidP="00C335B5">
      <w:pPr>
        <w:spacing w:after="120"/>
        <w:ind w:firstLine="1"/>
        <w:jc w:val="center"/>
        <w:rPr>
          <w:b/>
          <w:szCs w:val="28"/>
          <w:lang w:val="es-ES"/>
        </w:rPr>
      </w:pPr>
      <w:r w:rsidRPr="006E4A69">
        <w:rPr>
          <w:b/>
          <w:szCs w:val="28"/>
          <w:lang w:val="es-ES"/>
        </w:rPr>
        <w:t>ARIEL SALAZAR RAMÍREZ</w:t>
      </w:r>
    </w:p>
    <w:p w:rsidR="00E421B8" w:rsidRDefault="00E421B8" w:rsidP="00C335B5">
      <w:pPr>
        <w:spacing w:after="120"/>
        <w:ind w:firstLine="1"/>
        <w:jc w:val="center"/>
        <w:rPr>
          <w:b/>
          <w:szCs w:val="28"/>
          <w:lang w:val="es-ES"/>
        </w:rPr>
      </w:pPr>
    </w:p>
    <w:p w:rsidR="00E421B8" w:rsidRDefault="00E421B8" w:rsidP="00C335B5">
      <w:pPr>
        <w:spacing w:after="120"/>
        <w:ind w:firstLine="1"/>
        <w:jc w:val="center"/>
        <w:rPr>
          <w:b/>
          <w:szCs w:val="28"/>
          <w:lang w:val="es-ES"/>
        </w:rPr>
      </w:pPr>
    </w:p>
    <w:p w:rsidR="00E421B8" w:rsidRDefault="00E421B8" w:rsidP="00C335B5">
      <w:pPr>
        <w:spacing w:after="120"/>
        <w:ind w:firstLine="1"/>
        <w:jc w:val="center"/>
        <w:rPr>
          <w:b/>
          <w:szCs w:val="28"/>
          <w:lang w:val="es-ES"/>
        </w:rPr>
      </w:pPr>
    </w:p>
    <w:p w:rsidR="00F1011B" w:rsidRDefault="00F1011B" w:rsidP="00C335B5">
      <w:pPr>
        <w:spacing w:after="120"/>
        <w:ind w:firstLine="1"/>
        <w:jc w:val="center"/>
        <w:rPr>
          <w:b/>
          <w:szCs w:val="28"/>
          <w:lang w:val="es-ES"/>
        </w:rPr>
      </w:pPr>
      <w:r>
        <w:rPr>
          <w:b/>
          <w:szCs w:val="28"/>
          <w:lang w:val="es-ES"/>
        </w:rPr>
        <w:t>OCTAVIO AUGUSTO TEJEIRO DUQUE</w:t>
      </w:r>
    </w:p>
    <w:p w:rsidR="00E421B8" w:rsidRDefault="00E421B8" w:rsidP="00C335B5">
      <w:pPr>
        <w:spacing w:after="120"/>
        <w:ind w:firstLine="1"/>
        <w:jc w:val="center"/>
        <w:rPr>
          <w:b/>
          <w:szCs w:val="28"/>
          <w:lang w:val="es-ES"/>
        </w:rPr>
      </w:pPr>
    </w:p>
    <w:p w:rsidR="00E421B8" w:rsidRDefault="00E421B8" w:rsidP="00C335B5">
      <w:pPr>
        <w:spacing w:after="120"/>
        <w:ind w:firstLine="1"/>
        <w:jc w:val="center"/>
        <w:rPr>
          <w:b/>
          <w:szCs w:val="28"/>
          <w:lang w:val="es-ES"/>
        </w:rPr>
      </w:pPr>
    </w:p>
    <w:p w:rsidR="00E421B8" w:rsidRDefault="00E421B8" w:rsidP="00C335B5">
      <w:pPr>
        <w:spacing w:after="120"/>
        <w:ind w:firstLine="1"/>
        <w:jc w:val="center"/>
        <w:rPr>
          <w:szCs w:val="28"/>
          <w:lang w:val="es-ES"/>
        </w:rPr>
      </w:pPr>
    </w:p>
    <w:p w:rsidR="00C335B5" w:rsidRPr="00C335B5" w:rsidRDefault="00C335B5" w:rsidP="00C335B5">
      <w:pPr>
        <w:spacing w:after="120"/>
        <w:ind w:firstLine="1"/>
        <w:jc w:val="center"/>
        <w:rPr>
          <w:szCs w:val="28"/>
          <w:lang w:val="es-ES"/>
        </w:rPr>
      </w:pPr>
      <w:r w:rsidRPr="006E4A69">
        <w:rPr>
          <w:b/>
          <w:szCs w:val="28"/>
          <w:lang w:val="es-ES"/>
        </w:rPr>
        <w:t>LUIS ARMANDO TOLOSA VILLABONA</w:t>
      </w:r>
    </w:p>
    <w:sectPr w:rsidR="00C335B5" w:rsidRPr="00C335B5" w:rsidSect="00F538D9">
      <w:headerReference w:type="default" r:id="rId8"/>
      <w:footerReference w:type="default" r:id="rId9"/>
      <w:headerReference w:type="first" r:id="rId10"/>
      <w:footerReference w:type="first" r:id="rId11"/>
      <w:pgSz w:w="12242" w:h="18722" w:code="14"/>
      <w:pgMar w:top="2268" w:right="1701" w:bottom="1701" w:left="2268" w:header="709" w:footer="85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C4340" w:rsidRDefault="00CC4340" w:rsidP="00C530DD">
      <w:r>
        <w:separator/>
      </w:r>
    </w:p>
  </w:endnote>
  <w:endnote w:type="continuationSeparator" w:id="0">
    <w:p w:rsidR="00CC4340" w:rsidRDefault="00CC4340" w:rsidP="00C530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altName w:val="Calibri"/>
    <w:panose1 w:val="020F0302020204030204"/>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 w:name="ShelleyVolante BT">
    <w:altName w:val="Courier New"/>
    <w:panose1 w:val="00000000000000000000"/>
    <w:charset w:val="00"/>
    <w:family w:val="script"/>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2CCA" w:rsidRDefault="00DD2CCA">
    <w:pPr>
      <w:pStyle w:val="Piedepgina"/>
      <w:jc w:val="right"/>
    </w:pPr>
    <w:r>
      <w:fldChar w:fldCharType="begin"/>
    </w:r>
    <w:r>
      <w:instrText xml:space="preserve"> PAGE   \* MERGEFORMAT </w:instrText>
    </w:r>
    <w:r>
      <w:fldChar w:fldCharType="separate"/>
    </w:r>
    <w:r w:rsidR="00CC48F4">
      <w:rPr>
        <w:noProof/>
      </w:rPr>
      <w:t>42</w:t>
    </w:r>
    <w:r>
      <w:fldChar w:fldCharType="end"/>
    </w:r>
  </w:p>
  <w:p w:rsidR="00DD2CCA" w:rsidRDefault="00DD2CCA" w:rsidP="006D5DCE">
    <w:pPr>
      <w:pStyle w:val="Piedepgina"/>
      <w:tabs>
        <w:tab w:val="clear" w:pos="4419"/>
        <w:tab w:val="clear" w:pos="8838"/>
        <w:tab w:val="left" w:pos="1515"/>
      </w:tabs>
    </w:pP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2CCA" w:rsidRDefault="00DD2CCA">
    <w:pPr>
      <w:pStyle w:val="Piedepgina"/>
      <w:jc w:val="right"/>
    </w:pPr>
    <w:r>
      <w:fldChar w:fldCharType="begin"/>
    </w:r>
    <w:r>
      <w:instrText xml:space="preserve"> PAGE   \* MERGEFORMAT </w:instrText>
    </w:r>
    <w:r>
      <w:fldChar w:fldCharType="separate"/>
    </w:r>
    <w:r w:rsidR="00CC48F4">
      <w:rPr>
        <w:noProof/>
      </w:rPr>
      <w:t>1</w:t>
    </w:r>
    <w:r>
      <w:fldChar w:fldCharType="end"/>
    </w:r>
  </w:p>
  <w:p w:rsidR="00DD2CCA" w:rsidRDefault="00DD2CCA" w:rsidP="00151046">
    <w:pPr>
      <w:pStyle w:val="Piedepgina"/>
      <w:tabs>
        <w:tab w:val="clear" w:pos="4419"/>
        <w:tab w:val="clear" w:pos="8838"/>
        <w:tab w:val="left" w:pos="6450"/>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C4340" w:rsidRDefault="00CC4340" w:rsidP="00C530DD">
      <w:r>
        <w:separator/>
      </w:r>
    </w:p>
  </w:footnote>
  <w:footnote w:type="continuationSeparator" w:id="0">
    <w:p w:rsidR="00CC4340" w:rsidRDefault="00CC4340" w:rsidP="00C530DD">
      <w:r>
        <w:continuationSeparator/>
      </w:r>
    </w:p>
  </w:footnote>
  <w:footnote w:id="1">
    <w:p w:rsidR="00544093" w:rsidRPr="00AD57DA" w:rsidRDefault="00544093">
      <w:pPr>
        <w:pStyle w:val="Textonotapie"/>
        <w:rPr>
          <w:rFonts w:ascii="Bookman Old Style" w:hAnsi="Bookman Old Style"/>
          <w:lang w:val="es-CO"/>
        </w:rPr>
      </w:pPr>
      <w:r>
        <w:rPr>
          <w:rStyle w:val="Refdenotaalpie"/>
        </w:rPr>
        <w:footnoteRef/>
      </w:r>
      <w:r>
        <w:t xml:space="preserve"> </w:t>
      </w:r>
      <w:r w:rsidRPr="00AD57DA">
        <w:rPr>
          <w:rFonts w:ascii="Bookman Old Style" w:hAnsi="Bookman Old Style"/>
        </w:rPr>
        <w:t>Dice la norma: “A petición de cualquiera de los socios, procede declarar judicialmente la disolución y decretar la liquidación de una sociedad civil, comercial o de hecho, por las causales previstas en la ley o el contrato social, siempre que tal declaración no corresponda a una autoridad administrativa”. En similares términos, el artículo 524 del Código General de Proceso establece que “cualquiera de los socios podrá demandar la declaratoria de nulidad del contrato social o la disolución de la sociedad, invocando cualquiera de las causales previstas en la ley o en el contrato</w:t>
      </w:r>
      <w:r w:rsidR="001F4D54" w:rsidRPr="00AD57DA">
        <w:rPr>
          <w:rFonts w:ascii="Bookman Old Style" w:hAnsi="Bookman Old Style"/>
        </w:rPr>
        <w:t>”</w:t>
      </w:r>
      <w:r w:rsidRPr="00AD57DA">
        <w:rPr>
          <w:rFonts w:ascii="Bookman Old Style" w:hAnsi="Bookman Old Style"/>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2CCA" w:rsidRDefault="00DD2CCA">
    <w:pPr>
      <w:pStyle w:val="Encabezado"/>
      <w:jc w:val="right"/>
    </w:pPr>
  </w:p>
  <w:p w:rsidR="00DD2CCA" w:rsidRPr="004D020D" w:rsidRDefault="00DD2CCA" w:rsidP="002D5D3B">
    <w:pPr>
      <w:pStyle w:val="Encabezado"/>
      <w:tabs>
        <w:tab w:val="clear" w:pos="4419"/>
        <w:tab w:val="clear" w:pos="8838"/>
        <w:tab w:val="right" w:pos="8330"/>
      </w:tabs>
      <w:jc w:val="right"/>
      <w:rPr>
        <w:sz w:val="20"/>
      </w:rPr>
    </w:pPr>
    <w:r w:rsidRPr="004D020D">
      <w:rPr>
        <w:sz w:val="20"/>
      </w:rPr>
      <w:t>Radicación n°</w:t>
    </w:r>
    <w:r w:rsidRPr="00CD3281">
      <w:rPr>
        <w:sz w:val="20"/>
      </w:rPr>
      <w:t>11001-31-03-043-2010-00202-01</w:t>
    </w:r>
  </w:p>
  <w:p w:rsidR="00DD2CCA" w:rsidRDefault="00DD2CCA" w:rsidP="00EB3D10">
    <w:pPr>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2CCA" w:rsidRPr="00CA14A7" w:rsidRDefault="00DD2CCA" w:rsidP="00CA14A7">
    <w:pPr>
      <w:pStyle w:val="Encabezado"/>
      <w:jc w:val="center"/>
    </w:pPr>
    <w:r w:rsidRPr="00CA14A7">
      <w:rPr>
        <w:noProof/>
        <w:lang w:val="es-CO" w:eastAsia="es-CO"/>
      </w:rPr>
      <w:drawing>
        <wp:inline distT="0" distB="0" distL="0" distR="0" wp14:anchorId="0D7C852A" wp14:editId="191340B9">
          <wp:extent cx="1985010" cy="1985010"/>
          <wp:effectExtent l="0" t="0" r="0" b="0"/>
          <wp:docPr id="2" name="Imagen 2" descr="C:\Users\LizethC\Desktop\SalaCivil\SalaDeCasacionCivil\CivilBy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izethC\Desktop\SalaCivil\SalaDeCasacionCivil\CivilByn.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85010" cy="198501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9500D7"/>
    <w:multiLevelType w:val="hybridMultilevel"/>
    <w:tmpl w:val="ADDEB6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C2A6492"/>
    <w:multiLevelType w:val="hybridMultilevel"/>
    <w:tmpl w:val="1550F2B0"/>
    <w:lvl w:ilvl="0" w:tplc="540A000F">
      <w:start w:val="1"/>
      <w:numFmt w:val="decimal"/>
      <w:lvlText w:val="%1."/>
      <w:lvlJc w:val="left"/>
      <w:pPr>
        <w:ind w:left="1429" w:hanging="360"/>
      </w:pPr>
    </w:lvl>
    <w:lvl w:ilvl="1" w:tplc="240A0019" w:tentative="1">
      <w:start w:val="1"/>
      <w:numFmt w:val="lowerLetter"/>
      <w:lvlText w:val="%2."/>
      <w:lvlJc w:val="left"/>
      <w:pPr>
        <w:ind w:left="2149" w:hanging="360"/>
      </w:pPr>
    </w:lvl>
    <w:lvl w:ilvl="2" w:tplc="240A001B" w:tentative="1">
      <w:start w:val="1"/>
      <w:numFmt w:val="lowerRoman"/>
      <w:lvlText w:val="%3."/>
      <w:lvlJc w:val="right"/>
      <w:pPr>
        <w:ind w:left="2869" w:hanging="180"/>
      </w:pPr>
    </w:lvl>
    <w:lvl w:ilvl="3" w:tplc="240A000F" w:tentative="1">
      <w:start w:val="1"/>
      <w:numFmt w:val="decimal"/>
      <w:lvlText w:val="%4."/>
      <w:lvlJc w:val="left"/>
      <w:pPr>
        <w:ind w:left="3589" w:hanging="360"/>
      </w:pPr>
    </w:lvl>
    <w:lvl w:ilvl="4" w:tplc="240A0019" w:tentative="1">
      <w:start w:val="1"/>
      <w:numFmt w:val="lowerLetter"/>
      <w:lvlText w:val="%5."/>
      <w:lvlJc w:val="left"/>
      <w:pPr>
        <w:ind w:left="4309" w:hanging="360"/>
      </w:pPr>
    </w:lvl>
    <w:lvl w:ilvl="5" w:tplc="240A001B" w:tentative="1">
      <w:start w:val="1"/>
      <w:numFmt w:val="lowerRoman"/>
      <w:lvlText w:val="%6."/>
      <w:lvlJc w:val="right"/>
      <w:pPr>
        <w:ind w:left="5029" w:hanging="180"/>
      </w:pPr>
    </w:lvl>
    <w:lvl w:ilvl="6" w:tplc="240A000F" w:tentative="1">
      <w:start w:val="1"/>
      <w:numFmt w:val="decimal"/>
      <w:lvlText w:val="%7."/>
      <w:lvlJc w:val="left"/>
      <w:pPr>
        <w:ind w:left="5749" w:hanging="360"/>
      </w:pPr>
    </w:lvl>
    <w:lvl w:ilvl="7" w:tplc="240A0019" w:tentative="1">
      <w:start w:val="1"/>
      <w:numFmt w:val="lowerLetter"/>
      <w:lvlText w:val="%8."/>
      <w:lvlJc w:val="left"/>
      <w:pPr>
        <w:ind w:left="6469" w:hanging="360"/>
      </w:pPr>
    </w:lvl>
    <w:lvl w:ilvl="8" w:tplc="240A001B" w:tentative="1">
      <w:start w:val="1"/>
      <w:numFmt w:val="lowerRoman"/>
      <w:lvlText w:val="%9."/>
      <w:lvlJc w:val="right"/>
      <w:pPr>
        <w:ind w:left="7189" w:hanging="180"/>
      </w:pPr>
    </w:lvl>
  </w:abstractNum>
  <w:abstractNum w:abstractNumId="2">
    <w:nsid w:val="0D233251"/>
    <w:multiLevelType w:val="hybridMultilevel"/>
    <w:tmpl w:val="F404C18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15A628E"/>
    <w:multiLevelType w:val="hybridMultilevel"/>
    <w:tmpl w:val="AA4A5C26"/>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14721E67"/>
    <w:multiLevelType w:val="multilevel"/>
    <w:tmpl w:val="0B76F36A"/>
    <w:lvl w:ilvl="0">
      <w:start w:val="1"/>
      <w:numFmt w:val="upperRoman"/>
      <w:lvlText w:val="%1."/>
      <w:lvlJc w:val="left"/>
      <w:pPr>
        <w:ind w:left="1416" w:firstLine="0"/>
      </w:pPr>
    </w:lvl>
    <w:lvl w:ilvl="1">
      <w:start w:val="1"/>
      <w:numFmt w:val="upperLetter"/>
      <w:lvlText w:val="%2."/>
      <w:lvlJc w:val="left"/>
      <w:pPr>
        <w:ind w:left="2136" w:firstLine="0"/>
      </w:pPr>
      <w:rPr>
        <w:rFonts w:ascii="Bookman Old Style" w:hAnsi="Bookman Old Style" w:hint="default"/>
        <w:b/>
        <w:sz w:val="28"/>
      </w:rPr>
    </w:lvl>
    <w:lvl w:ilvl="2">
      <w:start w:val="1"/>
      <w:numFmt w:val="decimal"/>
      <w:lvlText w:val="%3."/>
      <w:lvlJc w:val="left"/>
      <w:pPr>
        <w:ind w:left="2856" w:firstLine="0"/>
      </w:pPr>
    </w:lvl>
    <w:lvl w:ilvl="3">
      <w:start w:val="1"/>
      <w:numFmt w:val="lowerLetter"/>
      <w:lvlText w:val="%4)"/>
      <w:lvlJc w:val="left"/>
      <w:pPr>
        <w:ind w:left="3576" w:firstLine="0"/>
      </w:pPr>
    </w:lvl>
    <w:lvl w:ilvl="4">
      <w:start w:val="1"/>
      <w:numFmt w:val="decimal"/>
      <w:lvlText w:val="(%5)"/>
      <w:lvlJc w:val="left"/>
      <w:pPr>
        <w:ind w:left="4296" w:firstLine="0"/>
      </w:pPr>
    </w:lvl>
    <w:lvl w:ilvl="5">
      <w:start w:val="1"/>
      <w:numFmt w:val="lowerLetter"/>
      <w:lvlText w:val="(%6)"/>
      <w:lvlJc w:val="left"/>
      <w:pPr>
        <w:ind w:left="5016" w:firstLine="0"/>
      </w:pPr>
    </w:lvl>
    <w:lvl w:ilvl="6">
      <w:start w:val="1"/>
      <w:numFmt w:val="lowerRoman"/>
      <w:lvlText w:val="(%7)"/>
      <w:lvlJc w:val="left"/>
      <w:pPr>
        <w:ind w:left="5736" w:firstLine="0"/>
      </w:pPr>
    </w:lvl>
    <w:lvl w:ilvl="7">
      <w:start w:val="1"/>
      <w:numFmt w:val="lowerLetter"/>
      <w:lvlText w:val="(%8)"/>
      <w:lvlJc w:val="left"/>
      <w:pPr>
        <w:ind w:left="6456" w:firstLine="0"/>
      </w:pPr>
    </w:lvl>
    <w:lvl w:ilvl="8">
      <w:start w:val="1"/>
      <w:numFmt w:val="lowerRoman"/>
      <w:lvlText w:val="(%9)"/>
      <w:lvlJc w:val="left"/>
      <w:pPr>
        <w:ind w:left="7176" w:firstLine="0"/>
      </w:pPr>
    </w:lvl>
  </w:abstractNum>
  <w:abstractNum w:abstractNumId="5">
    <w:nsid w:val="14CF0F91"/>
    <w:multiLevelType w:val="hybridMultilevel"/>
    <w:tmpl w:val="056C3D86"/>
    <w:lvl w:ilvl="0" w:tplc="D3C256FA">
      <w:start w:val="1"/>
      <w:numFmt w:val="decimal"/>
      <w:lvlText w:val="%1."/>
      <w:lvlJc w:val="left"/>
      <w:pPr>
        <w:ind w:left="927" w:hanging="36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6">
    <w:nsid w:val="17CF0E0A"/>
    <w:multiLevelType w:val="hybridMultilevel"/>
    <w:tmpl w:val="6360F362"/>
    <w:lvl w:ilvl="0" w:tplc="67C08CC2">
      <w:start w:val="2"/>
      <w:numFmt w:val="bullet"/>
      <w:lvlText w:val="-"/>
      <w:lvlJc w:val="left"/>
      <w:pPr>
        <w:ind w:left="720" w:hanging="360"/>
      </w:pPr>
      <w:rPr>
        <w:rFonts w:ascii="Bookman Old Style" w:eastAsia="Times New Roman" w:hAnsi="Bookman Old Style"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1A7834E1"/>
    <w:multiLevelType w:val="hybridMultilevel"/>
    <w:tmpl w:val="B600AF36"/>
    <w:lvl w:ilvl="0" w:tplc="240A0001">
      <w:start w:val="1"/>
      <w:numFmt w:val="bullet"/>
      <w:lvlText w:val=""/>
      <w:lvlJc w:val="left"/>
      <w:pPr>
        <w:ind w:left="1429" w:hanging="360"/>
      </w:pPr>
      <w:rPr>
        <w:rFonts w:ascii="Symbol" w:hAnsi="Symbol" w:hint="default"/>
      </w:rPr>
    </w:lvl>
    <w:lvl w:ilvl="1" w:tplc="240A0003">
      <w:start w:val="1"/>
      <w:numFmt w:val="bullet"/>
      <w:lvlText w:val="o"/>
      <w:lvlJc w:val="left"/>
      <w:pPr>
        <w:ind w:left="2149" w:hanging="360"/>
      </w:pPr>
      <w:rPr>
        <w:rFonts w:ascii="Courier New" w:hAnsi="Courier New" w:cs="Courier New" w:hint="default"/>
      </w:rPr>
    </w:lvl>
    <w:lvl w:ilvl="2" w:tplc="240A0005">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8">
    <w:nsid w:val="1AD750FB"/>
    <w:multiLevelType w:val="hybridMultilevel"/>
    <w:tmpl w:val="F25082BA"/>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9">
    <w:nsid w:val="333F34C3"/>
    <w:multiLevelType w:val="hybridMultilevel"/>
    <w:tmpl w:val="D72C2DA2"/>
    <w:lvl w:ilvl="0" w:tplc="7CE84E98">
      <w:start w:val="1"/>
      <w:numFmt w:val="upperLetter"/>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0">
    <w:nsid w:val="342E0A6F"/>
    <w:multiLevelType w:val="hybridMultilevel"/>
    <w:tmpl w:val="862CB340"/>
    <w:lvl w:ilvl="0" w:tplc="7CE84E98">
      <w:start w:val="1"/>
      <w:numFmt w:val="upp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1">
    <w:nsid w:val="362E361D"/>
    <w:multiLevelType w:val="hybridMultilevel"/>
    <w:tmpl w:val="71D205C4"/>
    <w:lvl w:ilvl="0" w:tplc="43F6C83E">
      <w:start w:val="3"/>
      <w:numFmt w:val="bullet"/>
      <w:lvlText w:val="-"/>
      <w:lvlJc w:val="left"/>
      <w:pPr>
        <w:ind w:left="927" w:hanging="360"/>
      </w:pPr>
      <w:rPr>
        <w:rFonts w:ascii="Bookman Old Style" w:eastAsia="Times New Roman" w:hAnsi="Bookman Old Style" w:cs="Arial" w:hint="default"/>
      </w:rPr>
    </w:lvl>
    <w:lvl w:ilvl="1" w:tplc="240A0003" w:tentative="1">
      <w:start w:val="1"/>
      <w:numFmt w:val="bullet"/>
      <w:lvlText w:val="o"/>
      <w:lvlJc w:val="left"/>
      <w:pPr>
        <w:ind w:left="1647" w:hanging="360"/>
      </w:pPr>
      <w:rPr>
        <w:rFonts w:ascii="Courier New" w:hAnsi="Courier New" w:cs="Courier New" w:hint="default"/>
      </w:rPr>
    </w:lvl>
    <w:lvl w:ilvl="2" w:tplc="240A0005" w:tentative="1">
      <w:start w:val="1"/>
      <w:numFmt w:val="bullet"/>
      <w:lvlText w:val=""/>
      <w:lvlJc w:val="left"/>
      <w:pPr>
        <w:ind w:left="2367" w:hanging="360"/>
      </w:pPr>
      <w:rPr>
        <w:rFonts w:ascii="Wingdings" w:hAnsi="Wingdings" w:hint="default"/>
      </w:rPr>
    </w:lvl>
    <w:lvl w:ilvl="3" w:tplc="240A0001" w:tentative="1">
      <w:start w:val="1"/>
      <w:numFmt w:val="bullet"/>
      <w:lvlText w:val=""/>
      <w:lvlJc w:val="left"/>
      <w:pPr>
        <w:ind w:left="3087" w:hanging="360"/>
      </w:pPr>
      <w:rPr>
        <w:rFonts w:ascii="Symbol" w:hAnsi="Symbol" w:hint="default"/>
      </w:rPr>
    </w:lvl>
    <w:lvl w:ilvl="4" w:tplc="240A0003" w:tentative="1">
      <w:start w:val="1"/>
      <w:numFmt w:val="bullet"/>
      <w:lvlText w:val="o"/>
      <w:lvlJc w:val="left"/>
      <w:pPr>
        <w:ind w:left="3807" w:hanging="360"/>
      </w:pPr>
      <w:rPr>
        <w:rFonts w:ascii="Courier New" w:hAnsi="Courier New" w:cs="Courier New" w:hint="default"/>
      </w:rPr>
    </w:lvl>
    <w:lvl w:ilvl="5" w:tplc="240A0005" w:tentative="1">
      <w:start w:val="1"/>
      <w:numFmt w:val="bullet"/>
      <w:lvlText w:val=""/>
      <w:lvlJc w:val="left"/>
      <w:pPr>
        <w:ind w:left="4527" w:hanging="360"/>
      </w:pPr>
      <w:rPr>
        <w:rFonts w:ascii="Wingdings" w:hAnsi="Wingdings" w:hint="default"/>
      </w:rPr>
    </w:lvl>
    <w:lvl w:ilvl="6" w:tplc="240A0001" w:tentative="1">
      <w:start w:val="1"/>
      <w:numFmt w:val="bullet"/>
      <w:lvlText w:val=""/>
      <w:lvlJc w:val="left"/>
      <w:pPr>
        <w:ind w:left="5247" w:hanging="360"/>
      </w:pPr>
      <w:rPr>
        <w:rFonts w:ascii="Symbol" w:hAnsi="Symbol" w:hint="default"/>
      </w:rPr>
    </w:lvl>
    <w:lvl w:ilvl="7" w:tplc="240A0003" w:tentative="1">
      <w:start w:val="1"/>
      <w:numFmt w:val="bullet"/>
      <w:lvlText w:val="o"/>
      <w:lvlJc w:val="left"/>
      <w:pPr>
        <w:ind w:left="5967" w:hanging="360"/>
      </w:pPr>
      <w:rPr>
        <w:rFonts w:ascii="Courier New" w:hAnsi="Courier New" w:cs="Courier New" w:hint="default"/>
      </w:rPr>
    </w:lvl>
    <w:lvl w:ilvl="8" w:tplc="240A0005" w:tentative="1">
      <w:start w:val="1"/>
      <w:numFmt w:val="bullet"/>
      <w:lvlText w:val=""/>
      <w:lvlJc w:val="left"/>
      <w:pPr>
        <w:ind w:left="6687" w:hanging="360"/>
      </w:pPr>
      <w:rPr>
        <w:rFonts w:ascii="Wingdings" w:hAnsi="Wingdings" w:hint="default"/>
      </w:rPr>
    </w:lvl>
  </w:abstractNum>
  <w:abstractNum w:abstractNumId="12">
    <w:nsid w:val="39163E59"/>
    <w:multiLevelType w:val="hybridMultilevel"/>
    <w:tmpl w:val="E292A3AE"/>
    <w:lvl w:ilvl="0" w:tplc="540A000F">
      <w:start w:val="1"/>
      <w:numFmt w:val="decimal"/>
      <w:lvlText w:val="%1."/>
      <w:lvlJc w:val="left"/>
      <w:pPr>
        <w:ind w:left="928" w:hanging="360"/>
      </w:pPr>
    </w:lvl>
    <w:lvl w:ilvl="1" w:tplc="240A0019" w:tentative="1">
      <w:start w:val="1"/>
      <w:numFmt w:val="lowerLetter"/>
      <w:lvlText w:val="%2."/>
      <w:lvlJc w:val="left"/>
      <w:pPr>
        <w:ind w:left="2850" w:hanging="360"/>
      </w:pPr>
    </w:lvl>
    <w:lvl w:ilvl="2" w:tplc="240A001B" w:tentative="1">
      <w:start w:val="1"/>
      <w:numFmt w:val="lowerRoman"/>
      <w:lvlText w:val="%3."/>
      <w:lvlJc w:val="right"/>
      <w:pPr>
        <w:ind w:left="3570" w:hanging="180"/>
      </w:pPr>
    </w:lvl>
    <w:lvl w:ilvl="3" w:tplc="240A000F" w:tentative="1">
      <w:start w:val="1"/>
      <w:numFmt w:val="decimal"/>
      <w:lvlText w:val="%4."/>
      <w:lvlJc w:val="left"/>
      <w:pPr>
        <w:ind w:left="4290" w:hanging="360"/>
      </w:pPr>
    </w:lvl>
    <w:lvl w:ilvl="4" w:tplc="240A0019" w:tentative="1">
      <w:start w:val="1"/>
      <w:numFmt w:val="lowerLetter"/>
      <w:lvlText w:val="%5."/>
      <w:lvlJc w:val="left"/>
      <w:pPr>
        <w:ind w:left="5010" w:hanging="360"/>
      </w:pPr>
    </w:lvl>
    <w:lvl w:ilvl="5" w:tplc="240A001B" w:tentative="1">
      <w:start w:val="1"/>
      <w:numFmt w:val="lowerRoman"/>
      <w:lvlText w:val="%6."/>
      <w:lvlJc w:val="right"/>
      <w:pPr>
        <w:ind w:left="5730" w:hanging="180"/>
      </w:pPr>
    </w:lvl>
    <w:lvl w:ilvl="6" w:tplc="240A000F" w:tentative="1">
      <w:start w:val="1"/>
      <w:numFmt w:val="decimal"/>
      <w:lvlText w:val="%7."/>
      <w:lvlJc w:val="left"/>
      <w:pPr>
        <w:ind w:left="6450" w:hanging="360"/>
      </w:pPr>
    </w:lvl>
    <w:lvl w:ilvl="7" w:tplc="240A0019" w:tentative="1">
      <w:start w:val="1"/>
      <w:numFmt w:val="lowerLetter"/>
      <w:lvlText w:val="%8."/>
      <w:lvlJc w:val="left"/>
      <w:pPr>
        <w:ind w:left="7170" w:hanging="360"/>
      </w:pPr>
    </w:lvl>
    <w:lvl w:ilvl="8" w:tplc="240A001B" w:tentative="1">
      <w:start w:val="1"/>
      <w:numFmt w:val="lowerRoman"/>
      <w:lvlText w:val="%9."/>
      <w:lvlJc w:val="right"/>
      <w:pPr>
        <w:ind w:left="7890" w:hanging="180"/>
      </w:pPr>
    </w:lvl>
  </w:abstractNum>
  <w:abstractNum w:abstractNumId="13">
    <w:nsid w:val="39B51399"/>
    <w:multiLevelType w:val="hybridMultilevel"/>
    <w:tmpl w:val="0C5A12E8"/>
    <w:lvl w:ilvl="0" w:tplc="540A000F">
      <w:start w:val="1"/>
      <w:numFmt w:val="decimal"/>
      <w:lvlText w:val="%1."/>
      <w:lvlJc w:val="left"/>
      <w:pPr>
        <w:ind w:left="1522" w:hanging="360"/>
      </w:pPr>
    </w:lvl>
    <w:lvl w:ilvl="1" w:tplc="240A0019" w:tentative="1">
      <w:start w:val="1"/>
      <w:numFmt w:val="lowerLetter"/>
      <w:lvlText w:val="%2."/>
      <w:lvlJc w:val="left"/>
      <w:pPr>
        <w:ind w:left="2242" w:hanging="360"/>
      </w:pPr>
    </w:lvl>
    <w:lvl w:ilvl="2" w:tplc="240A001B" w:tentative="1">
      <w:start w:val="1"/>
      <w:numFmt w:val="lowerRoman"/>
      <w:lvlText w:val="%3."/>
      <w:lvlJc w:val="right"/>
      <w:pPr>
        <w:ind w:left="2962" w:hanging="180"/>
      </w:pPr>
    </w:lvl>
    <w:lvl w:ilvl="3" w:tplc="240A000F" w:tentative="1">
      <w:start w:val="1"/>
      <w:numFmt w:val="decimal"/>
      <w:lvlText w:val="%4."/>
      <w:lvlJc w:val="left"/>
      <w:pPr>
        <w:ind w:left="3682" w:hanging="360"/>
      </w:pPr>
    </w:lvl>
    <w:lvl w:ilvl="4" w:tplc="240A0019" w:tentative="1">
      <w:start w:val="1"/>
      <w:numFmt w:val="lowerLetter"/>
      <w:lvlText w:val="%5."/>
      <w:lvlJc w:val="left"/>
      <w:pPr>
        <w:ind w:left="4402" w:hanging="360"/>
      </w:pPr>
    </w:lvl>
    <w:lvl w:ilvl="5" w:tplc="240A001B" w:tentative="1">
      <w:start w:val="1"/>
      <w:numFmt w:val="lowerRoman"/>
      <w:lvlText w:val="%6."/>
      <w:lvlJc w:val="right"/>
      <w:pPr>
        <w:ind w:left="5122" w:hanging="180"/>
      </w:pPr>
    </w:lvl>
    <w:lvl w:ilvl="6" w:tplc="240A000F" w:tentative="1">
      <w:start w:val="1"/>
      <w:numFmt w:val="decimal"/>
      <w:lvlText w:val="%7."/>
      <w:lvlJc w:val="left"/>
      <w:pPr>
        <w:ind w:left="5842" w:hanging="360"/>
      </w:pPr>
    </w:lvl>
    <w:lvl w:ilvl="7" w:tplc="240A0019" w:tentative="1">
      <w:start w:val="1"/>
      <w:numFmt w:val="lowerLetter"/>
      <w:lvlText w:val="%8."/>
      <w:lvlJc w:val="left"/>
      <w:pPr>
        <w:ind w:left="6562" w:hanging="360"/>
      </w:pPr>
    </w:lvl>
    <w:lvl w:ilvl="8" w:tplc="240A001B" w:tentative="1">
      <w:start w:val="1"/>
      <w:numFmt w:val="lowerRoman"/>
      <w:lvlText w:val="%9."/>
      <w:lvlJc w:val="right"/>
      <w:pPr>
        <w:ind w:left="7282" w:hanging="180"/>
      </w:pPr>
    </w:lvl>
  </w:abstractNum>
  <w:abstractNum w:abstractNumId="14">
    <w:nsid w:val="3CCF05C6"/>
    <w:multiLevelType w:val="hybridMultilevel"/>
    <w:tmpl w:val="61183E9E"/>
    <w:lvl w:ilvl="0" w:tplc="C010C55E">
      <w:start w:val="1"/>
      <w:numFmt w:val="upp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5">
    <w:nsid w:val="3EB02B2E"/>
    <w:multiLevelType w:val="hybridMultilevel"/>
    <w:tmpl w:val="3F1EED7C"/>
    <w:lvl w:ilvl="0" w:tplc="540A000F">
      <w:start w:val="1"/>
      <w:numFmt w:val="decimal"/>
      <w:lvlText w:val="%1."/>
      <w:lvlJc w:val="left"/>
      <w:pPr>
        <w:ind w:left="928" w:hanging="360"/>
      </w:pPr>
    </w:lvl>
    <w:lvl w:ilvl="1" w:tplc="240A0019" w:tentative="1">
      <w:start w:val="1"/>
      <w:numFmt w:val="lowerLetter"/>
      <w:lvlText w:val="%2."/>
      <w:lvlJc w:val="left"/>
      <w:pPr>
        <w:ind w:left="2850" w:hanging="360"/>
      </w:pPr>
    </w:lvl>
    <w:lvl w:ilvl="2" w:tplc="240A001B" w:tentative="1">
      <w:start w:val="1"/>
      <w:numFmt w:val="lowerRoman"/>
      <w:lvlText w:val="%3."/>
      <w:lvlJc w:val="right"/>
      <w:pPr>
        <w:ind w:left="3570" w:hanging="180"/>
      </w:pPr>
    </w:lvl>
    <w:lvl w:ilvl="3" w:tplc="240A000F" w:tentative="1">
      <w:start w:val="1"/>
      <w:numFmt w:val="decimal"/>
      <w:lvlText w:val="%4."/>
      <w:lvlJc w:val="left"/>
      <w:pPr>
        <w:ind w:left="4290" w:hanging="360"/>
      </w:pPr>
    </w:lvl>
    <w:lvl w:ilvl="4" w:tplc="240A0019" w:tentative="1">
      <w:start w:val="1"/>
      <w:numFmt w:val="lowerLetter"/>
      <w:lvlText w:val="%5."/>
      <w:lvlJc w:val="left"/>
      <w:pPr>
        <w:ind w:left="5010" w:hanging="360"/>
      </w:pPr>
    </w:lvl>
    <w:lvl w:ilvl="5" w:tplc="240A001B" w:tentative="1">
      <w:start w:val="1"/>
      <w:numFmt w:val="lowerRoman"/>
      <w:lvlText w:val="%6."/>
      <w:lvlJc w:val="right"/>
      <w:pPr>
        <w:ind w:left="5730" w:hanging="180"/>
      </w:pPr>
    </w:lvl>
    <w:lvl w:ilvl="6" w:tplc="240A000F" w:tentative="1">
      <w:start w:val="1"/>
      <w:numFmt w:val="decimal"/>
      <w:lvlText w:val="%7."/>
      <w:lvlJc w:val="left"/>
      <w:pPr>
        <w:ind w:left="6450" w:hanging="360"/>
      </w:pPr>
    </w:lvl>
    <w:lvl w:ilvl="7" w:tplc="240A0019" w:tentative="1">
      <w:start w:val="1"/>
      <w:numFmt w:val="lowerLetter"/>
      <w:lvlText w:val="%8."/>
      <w:lvlJc w:val="left"/>
      <w:pPr>
        <w:ind w:left="7170" w:hanging="360"/>
      </w:pPr>
    </w:lvl>
    <w:lvl w:ilvl="8" w:tplc="240A001B" w:tentative="1">
      <w:start w:val="1"/>
      <w:numFmt w:val="lowerRoman"/>
      <w:lvlText w:val="%9."/>
      <w:lvlJc w:val="right"/>
      <w:pPr>
        <w:ind w:left="7890" w:hanging="180"/>
      </w:pPr>
    </w:lvl>
  </w:abstractNum>
  <w:abstractNum w:abstractNumId="16">
    <w:nsid w:val="462C3FB4"/>
    <w:multiLevelType w:val="hybridMultilevel"/>
    <w:tmpl w:val="3ED4D9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47647B7D"/>
    <w:multiLevelType w:val="multilevel"/>
    <w:tmpl w:val="3C18E3EA"/>
    <w:lvl w:ilvl="0">
      <w:start w:val="1"/>
      <w:numFmt w:val="upperRoman"/>
      <w:lvlText w:val="%1."/>
      <w:lvlJc w:val="left"/>
      <w:pPr>
        <w:ind w:left="0" w:firstLine="0"/>
      </w:pPr>
    </w:lvl>
    <w:lvl w:ilvl="1">
      <w:start w:val="1"/>
      <w:numFmt w:val="upperLetter"/>
      <w:lvlText w:val="%2."/>
      <w:lvlJc w:val="left"/>
      <w:pPr>
        <w:ind w:left="720" w:firstLine="0"/>
      </w:pPr>
      <w:rPr>
        <w:rFonts w:ascii="Bookman Old Style" w:hAnsi="Bookman Old Style" w:hint="default"/>
        <w:sz w:val="28"/>
      </w:r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18">
    <w:nsid w:val="4A5A26FA"/>
    <w:multiLevelType w:val="multilevel"/>
    <w:tmpl w:val="0B76F36A"/>
    <w:lvl w:ilvl="0">
      <w:start w:val="1"/>
      <w:numFmt w:val="upperRoman"/>
      <w:lvlText w:val="%1."/>
      <w:lvlJc w:val="left"/>
      <w:pPr>
        <w:ind w:left="0" w:firstLine="0"/>
      </w:pPr>
    </w:lvl>
    <w:lvl w:ilvl="1">
      <w:start w:val="1"/>
      <w:numFmt w:val="upperLetter"/>
      <w:lvlText w:val="%2."/>
      <w:lvlJc w:val="left"/>
      <w:pPr>
        <w:ind w:left="720" w:firstLine="0"/>
      </w:pPr>
      <w:rPr>
        <w:rFonts w:ascii="Bookman Old Style" w:hAnsi="Bookman Old Style" w:hint="default"/>
        <w:b/>
        <w:sz w:val="28"/>
      </w:r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19">
    <w:nsid w:val="4BD744A6"/>
    <w:multiLevelType w:val="hybridMultilevel"/>
    <w:tmpl w:val="8B4C6744"/>
    <w:lvl w:ilvl="0" w:tplc="E91ED53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4E4748A3"/>
    <w:multiLevelType w:val="multilevel"/>
    <w:tmpl w:val="3C18E3EA"/>
    <w:lvl w:ilvl="0">
      <w:start w:val="1"/>
      <w:numFmt w:val="upperRoman"/>
      <w:lvlText w:val="%1."/>
      <w:lvlJc w:val="left"/>
      <w:pPr>
        <w:ind w:left="710" w:firstLine="0"/>
      </w:pPr>
    </w:lvl>
    <w:lvl w:ilvl="1">
      <w:start w:val="1"/>
      <w:numFmt w:val="upperLetter"/>
      <w:lvlText w:val="%2."/>
      <w:lvlJc w:val="left"/>
      <w:pPr>
        <w:ind w:left="1430" w:firstLine="0"/>
      </w:pPr>
      <w:rPr>
        <w:rFonts w:ascii="Bookman Old Style" w:hAnsi="Bookman Old Style" w:hint="default"/>
        <w:sz w:val="28"/>
      </w:rPr>
    </w:lvl>
    <w:lvl w:ilvl="2">
      <w:start w:val="1"/>
      <w:numFmt w:val="decimal"/>
      <w:lvlText w:val="%3."/>
      <w:lvlJc w:val="left"/>
      <w:pPr>
        <w:ind w:left="2150" w:firstLine="0"/>
      </w:pPr>
    </w:lvl>
    <w:lvl w:ilvl="3">
      <w:start w:val="1"/>
      <w:numFmt w:val="lowerLetter"/>
      <w:lvlText w:val="%4)"/>
      <w:lvlJc w:val="left"/>
      <w:pPr>
        <w:ind w:left="2870" w:firstLine="0"/>
      </w:pPr>
    </w:lvl>
    <w:lvl w:ilvl="4">
      <w:start w:val="1"/>
      <w:numFmt w:val="decimal"/>
      <w:lvlText w:val="(%5)"/>
      <w:lvlJc w:val="left"/>
      <w:pPr>
        <w:ind w:left="3590" w:firstLine="0"/>
      </w:pPr>
    </w:lvl>
    <w:lvl w:ilvl="5">
      <w:start w:val="1"/>
      <w:numFmt w:val="lowerLetter"/>
      <w:lvlText w:val="(%6)"/>
      <w:lvlJc w:val="left"/>
      <w:pPr>
        <w:ind w:left="4310" w:firstLine="0"/>
      </w:pPr>
    </w:lvl>
    <w:lvl w:ilvl="6">
      <w:start w:val="1"/>
      <w:numFmt w:val="lowerRoman"/>
      <w:lvlText w:val="(%7)"/>
      <w:lvlJc w:val="left"/>
      <w:pPr>
        <w:ind w:left="5030" w:firstLine="0"/>
      </w:pPr>
    </w:lvl>
    <w:lvl w:ilvl="7">
      <w:start w:val="1"/>
      <w:numFmt w:val="lowerLetter"/>
      <w:lvlText w:val="(%8)"/>
      <w:lvlJc w:val="left"/>
      <w:pPr>
        <w:ind w:left="5750" w:firstLine="0"/>
      </w:pPr>
    </w:lvl>
    <w:lvl w:ilvl="8">
      <w:start w:val="1"/>
      <w:numFmt w:val="lowerRoman"/>
      <w:lvlText w:val="(%9)"/>
      <w:lvlJc w:val="left"/>
      <w:pPr>
        <w:ind w:left="6470" w:firstLine="0"/>
      </w:pPr>
    </w:lvl>
  </w:abstractNum>
  <w:abstractNum w:abstractNumId="21">
    <w:nsid w:val="551F518F"/>
    <w:multiLevelType w:val="multilevel"/>
    <w:tmpl w:val="29A04E40"/>
    <w:lvl w:ilvl="0">
      <w:start w:val="1"/>
      <w:numFmt w:val="upperRoman"/>
      <w:pStyle w:val="Ttulo1"/>
      <w:lvlText w:val="%1."/>
      <w:lvlJc w:val="left"/>
      <w:pPr>
        <w:ind w:left="0" w:firstLine="0"/>
      </w:pPr>
    </w:lvl>
    <w:lvl w:ilvl="1">
      <w:start w:val="1"/>
      <w:numFmt w:val="upperLetter"/>
      <w:lvlText w:val="%2."/>
      <w:lvlJc w:val="left"/>
      <w:pPr>
        <w:ind w:left="720" w:firstLine="0"/>
      </w:pPr>
    </w:lvl>
    <w:lvl w:ilvl="2">
      <w:start w:val="1"/>
      <w:numFmt w:val="decimal"/>
      <w:pStyle w:val="Ttulo3"/>
      <w:lvlText w:val="%3."/>
      <w:lvlJc w:val="left"/>
      <w:pPr>
        <w:ind w:left="1440" w:firstLine="0"/>
      </w:pPr>
    </w:lvl>
    <w:lvl w:ilvl="3">
      <w:start w:val="1"/>
      <w:numFmt w:val="lowerLetter"/>
      <w:pStyle w:val="Ttulo4"/>
      <w:lvlText w:val="%4)"/>
      <w:lvlJc w:val="left"/>
      <w:pPr>
        <w:ind w:left="2160" w:firstLine="0"/>
      </w:pPr>
    </w:lvl>
    <w:lvl w:ilvl="4">
      <w:start w:val="1"/>
      <w:numFmt w:val="decimal"/>
      <w:pStyle w:val="Ttulo5"/>
      <w:lvlText w:val="(%5)"/>
      <w:lvlJc w:val="left"/>
      <w:pPr>
        <w:ind w:left="2880" w:firstLine="0"/>
      </w:pPr>
    </w:lvl>
    <w:lvl w:ilvl="5">
      <w:start w:val="1"/>
      <w:numFmt w:val="lowerLetter"/>
      <w:pStyle w:val="Ttulo6"/>
      <w:lvlText w:val="(%6)"/>
      <w:lvlJc w:val="left"/>
      <w:pPr>
        <w:ind w:left="3600" w:firstLine="0"/>
      </w:pPr>
    </w:lvl>
    <w:lvl w:ilvl="6">
      <w:start w:val="1"/>
      <w:numFmt w:val="lowerRoman"/>
      <w:pStyle w:val="Ttulo7"/>
      <w:lvlText w:val="(%7)"/>
      <w:lvlJc w:val="left"/>
      <w:pPr>
        <w:ind w:left="4320" w:firstLine="0"/>
      </w:pPr>
    </w:lvl>
    <w:lvl w:ilvl="7">
      <w:start w:val="1"/>
      <w:numFmt w:val="lowerLetter"/>
      <w:pStyle w:val="Ttulo8"/>
      <w:lvlText w:val="(%8)"/>
      <w:lvlJc w:val="left"/>
      <w:pPr>
        <w:ind w:left="5040" w:firstLine="0"/>
      </w:pPr>
    </w:lvl>
    <w:lvl w:ilvl="8">
      <w:start w:val="1"/>
      <w:numFmt w:val="lowerRoman"/>
      <w:pStyle w:val="Ttulo9"/>
      <w:lvlText w:val="(%9)"/>
      <w:lvlJc w:val="left"/>
      <w:pPr>
        <w:ind w:left="5760" w:firstLine="0"/>
      </w:pPr>
    </w:lvl>
  </w:abstractNum>
  <w:abstractNum w:abstractNumId="22">
    <w:nsid w:val="5BF76B80"/>
    <w:multiLevelType w:val="hybridMultilevel"/>
    <w:tmpl w:val="6E262B88"/>
    <w:lvl w:ilvl="0" w:tplc="4B02DDA4">
      <w:start w:val="4"/>
      <w:numFmt w:val="bullet"/>
      <w:lvlText w:val="-"/>
      <w:lvlJc w:val="left"/>
      <w:pPr>
        <w:ind w:left="1065" w:hanging="360"/>
      </w:pPr>
      <w:rPr>
        <w:rFonts w:ascii="Bookman Old Style" w:eastAsia="Times New Roman" w:hAnsi="Bookman Old Style" w:cs="Times New Roman" w:hint="default"/>
      </w:rPr>
    </w:lvl>
    <w:lvl w:ilvl="1" w:tplc="240A0003" w:tentative="1">
      <w:start w:val="1"/>
      <w:numFmt w:val="bullet"/>
      <w:lvlText w:val="o"/>
      <w:lvlJc w:val="left"/>
      <w:pPr>
        <w:ind w:left="1785" w:hanging="360"/>
      </w:pPr>
      <w:rPr>
        <w:rFonts w:ascii="Courier New" w:hAnsi="Courier New" w:cs="Courier New" w:hint="default"/>
      </w:rPr>
    </w:lvl>
    <w:lvl w:ilvl="2" w:tplc="240A0005" w:tentative="1">
      <w:start w:val="1"/>
      <w:numFmt w:val="bullet"/>
      <w:lvlText w:val=""/>
      <w:lvlJc w:val="left"/>
      <w:pPr>
        <w:ind w:left="2505" w:hanging="360"/>
      </w:pPr>
      <w:rPr>
        <w:rFonts w:ascii="Wingdings" w:hAnsi="Wingdings" w:hint="default"/>
      </w:rPr>
    </w:lvl>
    <w:lvl w:ilvl="3" w:tplc="240A0001" w:tentative="1">
      <w:start w:val="1"/>
      <w:numFmt w:val="bullet"/>
      <w:lvlText w:val=""/>
      <w:lvlJc w:val="left"/>
      <w:pPr>
        <w:ind w:left="3225" w:hanging="360"/>
      </w:pPr>
      <w:rPr>
        <w:rFonts w:ascii="Symbol" w:hAnsi="Symbol" w:hint="default"/>
      </w:rPr>
    </w:lvl>
    <w:lvl w:ilvl="4" w:tplc="240A0003" w:tentative="1">
      <w:start w:val="1"/>
      <w:numFmt w:val="bullet"/>
      <w:lvlText w:val="o"/>
      <w:lvlJc w:val="left"/>
      <w:pPr>
        <w:ind w:left="3945" w:hanging="360"/>
      </w:pPr>
      <w:rPr>
        <w:rFonts w:ascii="Courier New" w:hAnsi="Courier New" w:cs="Courier New" w:hint="default"/>
      </w:rPr>
    </w:lvl>
    <w:lvl w:ilvl="5" w:tplc="240A0005" w:tentative="1">
      <w:start w:val="1"/>
      <w:numFmt w:val="bullet"/>
      <w:lvlText w:val=""/>
      <w:lvlJc w:val="left"/>
      <w:pPr>
        <w:ind w:left="4665" w:hanging="360"/>
      </w:pPr>
      <w:rPr>
        <w:rFonts w:ascii="Wingdings" w:hAnsi="Wingdings" w:hint="default"/>
      </w:rPr>
    </w:lvl>
    <w:lvl w:ilvl="6" w:tplc="240A0001" w:tentative="1">
      <w:start w:val="1"/>
      <w:numFmt w:val="bullet"/>
      <w:lvlText w:val=""/>
      <w:lvlJc w:val="left"/>
      <w:pPr>
        <w:ind w:left="5385" w:hanging="360"/>
      </w:pPr>
      <w:rPr>
        <w:rFonts w:ascii="Symbol" w:hAnsi="Symbol" w:hint="default"/>
      </w:rPr>
    </w:lvl>
    <w:lvl w:ilvl="7" w:tplc="240A0003" w:tentative="1">
      <w:start w:val="1"/>
      <w:numFmt w:val="bullet"/>
      <w:lvlText w:val="o"/>
      <w:lvlJc w:val="left"/>
      <w:pPr>
        <w:ind w:left="6105" w:hanging="360"/>
      </w:pPr>
      <w:rPr>
        <w:rFonts w:ascii="Courier New" w:hAnsi="Courier New" w:cs="Courier New" w:hint="default"/>
      </w:rPr>
    </w:lvl>
    <w:lvl w:ilvl="8" w:tplc="240A0005" w:tentative="1">
      <w:start w:val="1"/>
      <w:numFmt w:val="bullet"/>
      <w:lvlText w:val=""/>
      <w:lvlJc w:val="left"/>
      <w:pPr>
        <w:ind w:left="6825" w:hanging="360"/>
      </w:pPr>
      <w:rPr>
        <w:rFonts w:ascii="Wingdings" w:hAnsi="Wingdings" w:hint="default"/>
      </w:rPr>
    </w:lvl>
  </w:abstractNum>
  <w:abstractNum w:abstractNumId="23">
    <w:nsid w:val="66046408"/>
    <w:multiLevelType w:val="multilevel"/>
    <w:tmpl w:val="3C18E3EA"/>
    <w:lvl w:ilvl="0">
      <w:start w:val="1"/>
      <w:numFmt w:val="upperRoman"/>
      <w:lvlText w:val="%1."/>
      <w:lvlJc w:val="left"/>
      <w:pPr>
        <w:ind w:left="708" w:firstLine="0"/>
      </w:pPr>
    </w:lvl>
    <w:lvl w:ilvl="1">
      <w:start w:val="1"/>
      <w:numFmt w:val="upperLetter"/>
      <w:lvlText w:val="%2."/>
      <w:lvlJc w:val="left"/>
      <w:pPr>
        <w:ind w:left="1428" w:firstLine="0"/>
      </w:pPr>
      <w:rPr>
        <w:rFonts w:ascii="Bookman Old Style" w:hAnsi="Bookman Old Style" w:hint="default"/>
        <w:sz w:val="28"/>
      </w:rPr>
    </w:lvl>
    <w:lvl w:ilvl="2">
      <w:start w:val="1"/>
      <w:numFmt w:val="decimal"/>
      <w:lvlText w:val="%3."/>
      <w:lvlJc w:val="left"/>
      <w:pPr>
        <w:ind w:left="2148" w:firstLine="0"/>
      </w:pPr>
    </w:lvl>
    <w:lvl w:ilvl="3">
      <w:start w:val="1"/>
      <w:numFmt w:val="lowerLetter"/>
      <w:lvlText w:val="%4)"/>
      <w:lvlJc w:val="left"/>
      <w:pPr>
        <w:ind w:left="2868" w:firstLine="0"/>
      </w:pPr>
    </w:lvl>
    <w:lvl w:ilvl="4">
      <w:start w:val="1"/>
      <w:numFmt w:val="decimal"/>
      <w:lvlText w:val="(%5)"/>
      <w:lvlJc w:val="left"/>
      <w:pPr>
        <w:ind w:left="3588" w:firstLine="0"/>
      </w:pPr>
    </w:lvl>
    <w:lvl w:ilvl="5">
      <w:start w:val="1"/>
      <w:numFmt w:val="lowerLetter"/>
      <w:lvlText w:val="(%6)"/>
      <w:lvlJc w:val="left"/>
      <w:pPr>
        <w:ind w:left="4308" w:firstLine="0"/>
      </w:pPr>
    </w:lvl>
    <w:lvl w:ilvl="6">
      <w:start w:val="1"/>
      <w:numFmt w:val="lowerRoman"/>
      <w:lvlText w:val="(%7)"/>
      <w:lvlJc w:val="left"/>
      <w:pPr>
        <w:ind w:left="5028" w:firstLine="0"/>
      </w:pPr>
    </w:lvl>
    <w:lvl w:ilvl="7">
      <w:start w:val="1"/>
      <w:numFmt w:val="lowerLetter"/>
      <w:lvlText w:val="(%8)"/>
      <w:lvlJc w:val="left"/>
      <w:pPr>
        <w:ind w:left="5748" w:firstLine="0"/>
      </w:pPr>
    </w:lvl>
    <w:lvl w:ilvl="8">
      <w:start w:val="1"/>
      <w:numFmt w:val="lowerRoman"/>
      <w:lvlText w:val="(%9)"/>
      <w:lvlJc w:val="left"/>
      <w:pPr>
        <w:ind w:left="6468" w:firstLine="0"/>
      </w:pPr>
    </w:lvl>
  </w:abstractNum>
  <w:abstractNum w:abstractNumId="24">
    <w:nsid w:val="66330181"/>
    <w:multiLevelType w:val="hybridMultilevel"/>
    <w:tmpl w:val="12081B5E"/>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nsid w:val="6C92714B"/>
    <w:multiLevelType w:val="hybridMultilevel"/>
    <w:tmpl w:val="724C4912"/>
    <w:lvl w:ilvl="0" w:tplc="06CE586A">
      <w:start w:val="2"/>
      <w:numFmt w:val="bullet"/>
      <w:lvlText w:val="-"/>
      <w:lvlJc w:val="left"/>
      <w:pPr>
        <w:ind w:left="1069" w:hanging="360"/>
      </w:pPr>
      <w:rPr>
        <w:rFonts w:ascii="Bookman Old Style" w:eastAsia="Times New Roman" w:hAnsi="Bookman Old Style" w:cs="Arial" w:hint="default"/>
      </w:rPr>
    </w:lvl>
    <w:lvl w:ilvl="1" w:tplc="240A0003" w:tentative="1">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26">
    <w:nsid w:val="711322FE"/>
    <w:multiLevelType w:val="hybridMultilevel"/>
    <w:tmpl w:val="D74E89E4"/>
    <w:lvl w:ilvl="0" w:tplc="1E7AB096">
      <w:start w:val="1"/>
      <w:numFmt w:val="lowerLetter"/>
      <w:lvlText w:val="%1)"/>
      <w:lvlJc w:val="left"/>
      <w:pPr>
        <w:ind w:left="927" w:hanging="36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27">
    <w:nsid w:val="73D6171E"/>
    <w:multiLevelType w:val="hybridMultilevel"/>
    <w:tmpl w:val="68B20592"/>
    <w:lvl w:ilvl="0" w:tplc="ADAC1502">
      <w:start w:val="1"/>
      <w:numFmt w:val="lowerLetter"/>
      <w:lvlText w:val="%1)"/>
      <w:lvlJc w:val="left"/>
      <w:pPr>
        <w:tabs>
          <w:tab w:val="num" w:pos="2619"/>
        </w:tabs>
        <w:ind w:left="2619" w:hanging="1485"/>
      </w:pPr>
      <w:rPr>
        <w:rFonts w:hint="default"/>
      </w:rPr>
    </w:lvl>
    <w:lvl w:ilvl="1" w:tplc="0C0A0019" w:tentative="1">
      <w:start w:val="1"/>
      <w:numFmt w:val="lowerLetter"/>
      <w:lvlText w:val="%2."/>
      <w:lvlJc w:val="left"/>
      <w:pPr>
        <w:tabs>
          <w:tab w:val="num" w:pos="2214"/>
        </w:tabs>
        <w:ind w:left="2214" w:hanging="360"/>
      </w:pPr>
    </w:lvl>
    <w:lvl w:ilvl="2" w:tplc="0C0A001B" w:tentative="1">
      <w:start w:val="1"/>
      <w:numFmt w:val="lowerRoman"/>
      <w:lvlText w:val="%3."/>
      <w:lvlJc w:val="right"/>
      <w:pPr>
        <w:tabs>
          <w:tab w:val="num" w:pos="2934"/>
        </w:tabs>
        <w:ind w:left="2934" w:hanging="180"/>
      </w:pPr>
    </w:lvl>
    <w:lvl w:ilvl="3" w:tplc="0C0A000F" w:tentative="1">
      <w:start w:val="1"/>
      <w:numFmt w:val="decimal"/>
      <w:lvlText w:val="%4."/>
      <w:lvlJc w:val="left"/>
      <w:pPr>
        <w:tabs>
          <w:tab w:val="num" w:pos="3654"/>
        </w:tabs>
        <w:ind w:left="3654" w:hanging="360"/>
      </w:pPr>
    </w:lvl>
    <w:lvl w:ilvl="4" w:tplc="0C0A0019" w:tentative="1">
      <w:start w:val="1"/>
      <w:numFmt w:val="lowerLetter"/>
      <w:lvlText w:val="%5."/>
      <w:lvlJc w:val="left"/>
      <w:pPr>
        <w:tabs>
          <w:tab w:val="num" w:pos="4374"/>
        </w:tabs>
        <w:ind w:left="4374" w:hanging="360"/>
      </w:pPr>
    </w:lvl>
    <w:lvl w:ilvl="5" w:tplc="0C0A001B" w:tentative="1">
      <w:start w:val="1"/>
      <w:numFmt w:val="lowerRoman"/>
      <w:lvlText w:val="%6."/>
      <w:lvlJc w:val="right"/>
      <w:pPr>
        <w:tabs>
          <w:tab w:val="num" w:pos="5094"/>
        </w:tabs>
        <w:ind w:left="5094" w:hanging="180"/>
      </w:pPr>
    </w:lvl>
    <w:lvl w:ilvl="6" w:tplc="0C0A000F" w:tentative="1">
      <w:start w:val="1"/>
      <w:numFmt w:val="decimal"/>
      <w:lvlText w:val="%7."/>
      <w:lvlJc w:val="left"/>
      <w:pPr>
        <w:tabs>
          <w:tab w:val="num" w:pos="5814"/>
        </w:tabs>
        <w:ind w:left="5814" w:hanging="360"/>
      </w:pPr>
    </w:lvl>
    <w:lvl w:ilvl="7" w:tplc="0C0A0019" w:tentative="1">
      <w:start w:val="1"/>
      <w:numFmt w:val="lowerLetter"/>
      <w:lvlText w:val="%8."/>
      <w:lvlJc w:val="left"/>
      <w:pPr>
        <w:tabs>
          <w:tab w:val="num" w:pos="6534"/>
        </w:tabs>
        <w:ind w:left="6534" w:hanging="360"/>
      </w:pPr>
    </w:lvl>
    <w:lvl w:ilvl="8" w:tplc="0C0A001B" w:tentative="1">
      <w:start w:val="1"/>
      <w:numFmt w:val="lowerRoman"/>
      <w:lvlText w:val="%9."/>
      <w:lvlJc w:val="right"/>
      <w:pPr>
        <w:tabs>
          <w:tab w:val="num" w:pos="7254"/>
        </w:tabs>
        <w:ind w:left="7254" w:hanging="180"/>
      </w:pPr>
    </w:lvl>
  </w:abstractNum>
  <w:abstractNum w:abstractNumId="28">
    <w:nsid w:val="79E6464B"/>
    <w:multiLevelType w:val="hybridMultilevel"/>
    <w:tmpl w:val="6D7C852C"/>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nsid w:val="7A1D75BC"/>
    <w:multiLevelType w:val="hybridMultilevel"/>
    <w:tmpl w:val="C5FE23E8"/>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0">
    <w:nsid w:val="7A3816A4"/>
    <w:multiLevelType w:val="multilevel"/>
    <w:tmpl w:val="46767112"/>
    <w:lvl w:ilvl="0">
      <w:start w:val="1"/>
      <w:numFmt w:val="upperRoman"/>
      <w:lvlText w:val="%1."/>
      <w:lvlJc w:val="left"/>
      <w:pPr>
        <w:ind w:left="0" w:firstLine="0"/>
      </w:pPr>
      <w:rPr>
        <w:b/>
      </w:rPr>
    </w:lvl>
    <w:lvl w:ilvl="1">
      <w:start w:val="1"/>
      <w:numFmt w:val="upperLetter"/>
      <w:lvlText w:val="%2."/>
      <w:lvlJc w:val="left"/>
      <w:pPr>
        <w:ind w:left="720" w:firstLine="0"/>
      </w:pPr>
      <w:rPr>
        <w:rFonts w:ascii="Bookman Old Style" w:hAnsi="Bookman Old Style" w:hint="default"/>
        <w:sz w:val="28"/>
      </w:r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31">
    <w:nsid w:val="7D3E05C0"/>
    <w:multiLevelType w:val="hybridMultilevel"/>
    <w:tmpl w:val="F73C69A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7"/>
  </w:num>
  <w:num w:numId="2">
    <w:abstractNumId w:val="29"/>
  </w:num>
  <w:num w:numId="3">
    <w:abstractNumId w:val="3"/>
  </w:num>
  <w:num w:numId="4">
    <w:abstractNumId w:val="28"/>
  </w:num>
  <w:num w:numId="5">
    <w:abstractNumId w:val="31"/>
  </w:num>
  <w:num w:numId="6">
    <w:abstractNumId w:val="22"/>
  </w:num>
  <w:num w:numId="7">
    <w:abstractNumId w:val="0"/>
  </w:num>
  <w:num w:numId="8">
    <w:abstractNumId w:val="16"/>
  </w:num>
  <w:num w:numId="9">
    <w:abstractNumId w:val="21"/>
  </w:num>
  <w:num w:numId="10">
    <w:abstractNumId w:val="21"/>
  </w:num>
  <w:num w:numId="11">
    <w:abstractNumId w:val="2"/>
  </w:num>
  <w:num w:numId="12">
    <w:abstractNumId w:val="25"/>
  </w:num>
  <w:num w:numId="13">
    <w:abstractNumId w:val="24"/>
  </w:num>
  <w:num w:numId="14">
    <w:abstractNumId w:val="6"/>
  </w:num>
  <w:num w:numId="15">
    <w:abstractNumId w:val="10"/>
  </w:num>
  <w:num w:numId="16">
    <w:abstractNumId w:val="9"/>
  </w:num>
  <w:num w:numId="17">
    <w:abstractNumId w:val="30"/>
  </w:num>
  <w:num w:numId="18">
    <w:abstractNumId w:val="18"/>
  </w:num>
  <w:num w:numId="19">
    <w:abstractNumId w:val="23"/>
  </w:num>
  <w:num w:numId="20">
    <w:abstractNumId w:val="20"/>
  </w:num>
  <w:num w:numId="21">
    <w:abstractNumId w:val="4"/>
  </w:num>
  <w:num w:numId="22">
    <w:abstractNumId w:val="17"/>
  </w:num>
  <w:num w:numId="23">
    <w:abstractNumId w:val="8"/>
  </w:num>
  <w:num w:numId="24">
    <w:abstractNumId w:val="7"/>
  </w:num>
  <w:num w:numId="25">
    <w:abstractNumId w:val="13"/>
  </w:num>
  <w:num w:numId="26">
    <w:abstractNumId w:val="1"/>
  </w:num>
  <w:num w:numId="27">
    <w:abstractNumId w:val="19"/>
  </w:num>
  <w:num w:numId="28">
    <w:abstractNumId w:val="14"/>
  </w:num>
  <w:num w:numId="29">
    <w:abstractNumId w:val="5"/>
  </w:num>
  <w:num w:numId="30">
    <w:abstractNumId w:val="11"/>
  </w:num>
  <w:num w:numId="31">
    <w:abstractNumId w:val="26"/>
  </w:num>
  <w:num w:numId="32">
    <w:abstractNumId w:val="15"/>
  </w:num>
  <w:num w:numId="3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attachedTemplate r:id="rId1"/>
  <w:defaultTabStop w:val="708"/>
  <w:hyphenationZone w:val="425"/>
  <w:drawingGridHorizontalSpacing w:val="12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280486EF-D59F-4E7D-ADCB-6CA190AD490E}"/>
    <w:docVar w:name="dgnword-eventsink" w:val="645982288656"/>
  </w:docVars>
  <w:rsids>
    <w:rsidRoot w:val="00CD3281"/>
    <w:rsid w:val="000004FF"/>
    <w:rsid w:val="00000E26"/>
    <w:rsid w:val="000026FF"/>
    <w:rsid w:val="000040AD"/>
    <w:rsid w:val="0000474E"/>
    <w:rsid w:val="000047C8"/>
    <w:rsid w:val="00004868"/>
    <w:rsid w:val="000054FF"/>
    <w:rsid w:val="00006447"/>
    <w:rsid w:val="00007257"/>
    <w:rsid w:val="000072E8"/>
    <w:rsid w:val="00007786"/>
    <w:rsid w:val="00007B36"/>
    <w:rsid w:val="00010697"/>
    <w:rsid w:val="00010A70"/>
    <w:rsid w:val="00010DC3"/>
    <w:rsid w:val="00010E5A"/>
    <w:rsid w:val="000112D4"/>
    <w:rsid w:val="00011571"/>
    <w:rsid w:val="00011734"/>
    <w:rsid w:val="00012D02"/>
    <w:rsid w:val="00012E2A"/>
    <w:rsid w:val="00013DF0"/>
    <w:rsid w:val="00015232"/>
    <w:rsid w:val="0001616B"/>
    <w:rsid w:val="00016255"/>
    <w:rsid w:val="000163A6"/>
    <w:rsid w:val="00017DBE"/>
    <w:rsid w:val="00017EC4"/>
    <w:rsid w:val="0002115C"/>
    <w:rsid w:val="00021737"/>
    <w:rsid w:val="000219DE"/>
    <w:rsid w:val="0002283B"/>
    <w:rsid w:val="00023AD9"/>
    <w:rsid w:val="00023EE1"/>
    <w:rsid w:val="00023F9C"/>
    <w:rsid w:val="00024025"/>
    <w:rsid w:val="000246D4"/>
    <w:rsid w:val="0002488C"/>
    <w:rsid w:val="000259EF"/>
    <w:rsid w:val="00025C8C"/>
    <w:rsid w:val="000268C7"/>
    <w:rsid w:val="00027699"/>
    <w:rsid w:val="00027BF7"/>
    <w:rsid w:val="00027EB5"/>
    <w:rsid w:val="00030BDA"/>
    <w:rsid w:val="0003169A"/>
    <w:rsid w:val="000322F6"/>
    <w:rsid w:val="000333E4"/>
    <w:rsid w:val="0003431A"/>
    <w:rsid w:val="0003535E"/>
    <w:rsid w:val="00035374"/>
    <w:rsid w:val="00035978"/>
    <w:rsid w:val="0003721C"/>
    <w:rsid w:val="000376ED"/>
    <w:rsid w:val="0004035A"/>
    <w:rsid w:val="00040704"/>
    <w:rsid w:val="000409EE"/>
    <w:rsid w:val="00041256"/>
    <w:rsid w:val="00041A0C"/>
    <w:rsid w:val="00041E09"/>
    <w:rsid w:val="00042496"/>
    <w:rsid w:val="000426B8"/>
    <w:rsid w:val="00042902"/>
    <w:rsid w:val="00042955"/>
    <w:rsid w:val="00042A8F"/>
    <w:rsid w:val="00042E29"/>
    <w:rsid w:val="00045705"/>
    <w:rsid w:val="000458E4"/>
    <w:rsid w:val="00045D3B"/>
    <w:rsid w:val="000460A5"/>
    <w:rsid w:val="000474AB"/>
    <w:rsid w:val="00047C3B"/>
    <w:rsid w:val="000508A6"/>
    <w:rsid w:val="00051065"/>
    <w:rsid w:val="00051EF8"/>
    <w:rsid w:val="00055B33"/>
    <w:rsid w:val="00056BF9"/>
    <w:rsid w:val="00057F30"/>
    <w:rsid w:val="00060093"/>
    <w:rsid w:val="000605E9"/>
    <w:rsid w:val="00061387"/>
    <w:rsid w:val="0006180A"/>
    <w:rsid w:val="0006207E"/>
    <w:rsid w:val="00063463"/>
    <w:rsid w:val="00063C4E"/>
    <w:rsid w:val="00064BB7"/>
    <w:rsid w:val="00066907"/>
    <w:rsid w:val="00066B28"/>
    <w:rsid w:val="00070194"/>
    <w:rsid w:val="00071723"/>
    <w:rsid w:val="00071EAF"/>
    <w:rsid w:val="0007298C"/>
    <w:rsid w:val="00072BD7"/>
    <w:rsid w:val="000732E9"/>
    <w:rsid w:val="00073AED"/>
    <w:rsid w:val="0007517C"/>
    <w:rsid w:val="00075893"/>
    <w:rsid w:val="000759D7"/>
    <w:rsid w:val="000760B7"/>
    <w:rsid w:val="00076C64"/>
    <w:rsid w:val="00077559"/>
    <w:rsid w:val="000778CC"/>
    <w:rsid w:val="00077B25"/>
    <w:rsid w:val="000801FC"/>
    <w:rsid w:val="000802D8"/>
    <w:rsid w:val="00080776"/>
    <w:rsid w:val="00080C6F"/>
    <w:rsid w:val="00082085"/>
    <w:rsid w:val="0008254B"/>
    <w:rsid w:val="00083162"/>
    <w:rsid w:val="00083819"/>
    <w:rsid w:val="00084089"/>
    <w:rsid w:val="0008458A"/>
    <w:rsid w:val="00084A80"/>
    <w:rsid w:val="00084F41"/>
    <w:rsid w:val="00085183"/>
    <w:rsid w:val="00085CC2"/>
    <w:rsid w:val="00085FC0"/>
    <w:rsid w:val="000870F6"/>
    <w:rsid w:val="00087B67"/>
    <w:rsid w:val="00087F6A"/>
    <w:rsid w:val="00090055"/>
    <w:rsid w:val="000904EC"/>
    <w:rsid w:val="00090D54"/>
    <w:rsid w:val="00091113"/>
    <w:rsid w:val="00091418"/>
    <w:rsid w:val="00092742"/>
    <w:rsid w:val="00092D2F"/>
    <w:rsid w:val="00092DEA"/>
    <w:rsid w:val="00092DFE"/>
    <w:rsid w:val="000949F3"/>
    <w:rsid w:val="00094F09"/>
    <w:rsid w:val="00095E4F"/>
    <w:rsid w:val="00095E56"/>
    <w:rsid w:val="00095F3B"/>
    <w:rsid w:val="000964C4"/>
    <w:rsid w:val="00096E05"/>
    <w:rsid w:val="00097BF7"/>
    <w:rsid w:val="000A0143"/>
    <w:rsid w:val="000A060A"/>
    <w:rsid w:val="000A09DC"/>
    <w:rsid w:val="000A1101"/>
    <w:rsid w:val="000A168F"/>
    <w:rsid w:val="000A1A16"/>
    <w:rsid w:val="000A1B2E"/>
    <w:rsid w:val="000A1BCE"/>
    <w:rsid w:val="000A3492"/>
    <w:rsid w:val="000A3C2A"/>
    <w:rsid w:val="000A4291"/>
    <w:rsid w:val="000A46E6"/>
    <w:rsid w:val="000A4D08"/>
    <w:rsid w:val="000A5A68"/>
    <w:rsid w:val="000A5ACA"/>
    <w:rsid w:val="000A6AAA"/>
    <w:rsid w:val="000A751D"/>
    <w:rsid w:val="000A79CA"/>
    <w:rsid w:val="000B0232"/>
    <w:rsid w:val="000B0AA0"/>
    <w:rsid w:val="000B122E"/>
    <w:rsid w:val="000B176A"/>
    <w:rsid w:val="000B194B"/>
    <w:rsid w:val="000B1D90"/>
    <w:rsid w:val="000B20B1"/>
    <w:rsid w:val="000B2D40"/>
    <w:rsid w:val="000B2F33"/>
    <w:rsid w:val="000B2FB7"/>
    <w:rsid w:val="000B3EFF"/>
    <w:rsid w:val="000B491F"/>
    <w:rsid w:val="000B56D3"/>
    <w:rsid w:val="000B5DEF"/>
    <w:rsid w:val="000B6E16"/>
    <w:rsid w:val="000B6FD1"/>
    <w:rsid w:val="000B70FB"/>
    <w:rsid w:val="000B71D8"/>
    <w:rsid w:val="000B7A19"/>
    <w:rsid w:val="000C00B8"/>
    <w:rsid w:val="000C0607"/>
    <w:rsid w:val="000C075A"/>
    <w:rsid w:val="000C1CCC"/>
    <w:rsid w:val="000C2447"/>
    <w:rsid w:val="000C34E0"/>
    <w:rsid w:val="000C45D0"/>
    <w:rsid w:val="000C493C"/>
    <w:rsid w:val="000C4DE1"/>
    <w:rsid w:val="000C4EB0"/>
    <w:rsid w:val="000C59A1"/>
    <w:rsid w:val="000C6968"/>
    <w:rsid w:val="000C77EF"/>
    <w:rsid w:val="000C7DE6"/>
    <w:rsid w:val="000D18A0"/>
    <w:rsid w:val="000D1CA1"/>
    <w:rsid w:val="000D29FC"/>
    <w:rsid w:val="000D2C5B"/>
    <w:rsid w:val="000D394C"/>
    <w:rsid w:val="000D4135"/>
    <w:rsid w:val="000D4508"/>
    <w:rsid w:val="000D4942"/>
    <w:rsid w:val="000D4B69"/>
    <w:rsid w:val="000D5408"/>
    <w:rsid w:val="000D645C"/>
    <w:rsid w:val="000D6679"/>
    <w:rsid w:val="000D7F36"/>
    <w:rsid w:val="000E0446"/>
    <w:rsid w:val="000E0510"/>
    <w:rsid w:val="000E2E49"/>
    <w:rsid w:val="000E2ED6"/>
    <w:rsid w:val="000E3318"/>
    <w:rsid w:val="000E3D80"/>
    <w:rsid w:val="000E47EF"/>
    <w:rsid w:val="000E54D0"/>
    <w:rsid w:val="000E716D"/>
    <w:rsid w:val="000E7243"/>
    <w:rsid w:val="000E7525"/>
    <w:rsid w:val="000F029D"/>
    <w:rsid w:val="000F0A79"/>
    <w:rsid w:val="000F337F"/>
    <w:rsid w:val="000F3B3C"/>
    <w:rsid w:val="000F3CAA"/>
    <w:rsid w:val="000F493F"/>
    <w:rsid w:val="000F4C4E"/>
    <w:rsid w:val="000F4CDA"/>
    <w:rsid w:val="000F5BCE"/>
    <w:rsid w:val="000F7864"/>
    <w:rsid w:val="000F7C8B"/>
    <w:rsid w:val="00100142"/>
    <w:rsid w:val="001005E2"/>
    <w:rsid w:val="001020A0"/>
    <w:rsid w:val="00102173"/>
    <w:rsid w:val="001040A6"/>
    <w:rsid w:val="001043A3"/>
    <w:rsid w:val="00104965"/>
    <w:rsid w:val="00105B25"/>
    <w:rsid w:val="00105E07"/>
    <w:rsid w:val="001075A3"/>
    <w:rsid w:val="001076A8"/>
    <w:rsid w:val="00107A9D"/>
    <w:rsid w:val="00107F2F"/>
    <w:rsid w:val="00110194"/>
    <w:rsid w:val="00110DFB"/>
    <w:rsid w:val="001130F1"/>
    <w:rsid w:val="00113AB7"/>
    <w:rsid w:val="00114185"/>
    <w:rsid w:val="00114C53"/>
    <w:rsid w:val="00115856"/>
    <w:rsid w:val="00115B17"/>
    <w:rsid w:val="00116069"/>
    <w:rsid w:val="001165F9"/>
    <w:rsid w:val="00116860"/>
    <w:rsid w:val="00117F4A"/>
    <w:rsid w:val="001205F1"/>
    <w:rsid w:val="00120CCD"/>
    <w:rsid w:val="001231B2"/>
    <w:rsid w:val="0012341C"/>
    <w:rsid w:val="001245A7"/>
    <w:rsid w:val="00124C03"/>
    <w:rsid w:val="00124EEF"/>
    <w:rsid w:val="0012517E"/>
    <w:rsid w:val="00125B15"/>
    <w:rsid w:val="00125F12"/>
    <w:rsid w:val="0012627F"/>
    <w:rsid w:val="00126E81"/>
    <w:rsid w:val="00127A60"/>
    <w:rsid w:val="00130146"/>
    <w:rsid w:val="0013125D"/>
    <w:rsid w:val="00131FE0"/>
    <w:rsid w:val="0013228F"/>
    <w:rsid w:val="00133AC2"/>
    <w:rsid w:val="00134C6C"/>
    <w:rsid w:val="001352CB"/>
    <w:rsid w:val="0013574B"/>
    <w:rsid w:val="0013673F"/>
    <w:rsid w:val="00136A0F"/>
    <w:rsid w:val="00136FE9"/>
    <w:rsid w:val="001414D1"/>
    <w:rsid w:val="00143458"/>
    <w:rsid w:val="0014403A"/>
    <w:rsid w:val="0014412B"/>
    <w:rsid w:val="001458B5"/>
    <w:rsid w:val="00145AF9"/>
    <w:rsid w:val="00146407"/>
    <w:rsid w:val="00146BCD"/>
    <w:rsid w:val="00150F97"/>
    <w:rsid w:val="00151046"/>
    <w:rsid w:val="00151198"/>
    <w:rsid w:val="00152DB8"/>
    <w:rsid w:val="00152EC2"/>
    <w:rsid w:val="001532F1"/>
    <w:rsid w:val="001539D8"/>
    <w:rsid w:val="00153D35"/>
    <w:rsid w:val="00153D8C"/>
    <w:rsid w:val="00154E9E"/>
    <w:rsid w:val="00157773"/>
    <w:rsid w:val="001578C0"/>
    <w:rsid w:val="00160F7D"/>
    <w:rsid w:val="001623B8"/>
    <w:rsid w:val="001623DE"/>
    <w:rsid w:val="00162661"/>
    <w:rsid w:val="0016276C"/>
    <w:rsid w:val="00164217"/>
    <w:rsid w:val="001649A4"/>
    <w:rsid w:val="0016522F"/>
    <w:rsid w:val="00166979"/>
    <w:rsid w:val="00166AC5"/>
    <w:rsid w:val="00167439"/>
    <w:rsid w:val="00170F6A"/>
    <w:rsid w:val="001717BE"/>
    <w:rsid w:val="00171ABA"/>
    <w:rsid w:val="0017228A"/>
    <w:rsid w:val="001722B0"/>
    <w:rsid w:val="001723F4"/>
    <w:rsid w:val="00174920"/>
    <w:rsid w:val="00175430"/>
    <w:rsid w:val="0017606A"/>
    <w:rsid w:val="00176659"/>
    <w:rsid w:val="001767EC"/>
    <w:rsid w:val="00176845"/>
    <w:rsid w:val="0017688B"/>
    <w:rsid w:val="00176C1D"/>
    <w:rsid w:val="00177E02"/>
    <w:rsid w:val="001802BC"/>
    <w:rsid w:val="001811E3"/>
    <w:rsid w:val="0018124B"/>
    <w:rsid w:val="00181296"/>
    <w:rsid w:val="00183960"/>
    <w:rsid w:val="00183C51"/>
    <w:rsid w:val="00184267"/>
    <w:rsid w:val="0018501F"/>
    <w:rsid w:val="00185335"/>
    <w:rsid w:val="00185362"/>
    <w:rsid w:val="00185481"/>
    <w:rsid w:val="00187108"/>
    <w:rsid w:val="0018739B"/>
    <w:rsid w:val="00187B8F"/>
    <w:rsid w:val="00190896"/>
    <w:rsid w:val="0019243A"/>
    <w:rsid w:val="001924DD"/>
    <w:rsid w:val="00192591"/>
    <w:rsid w:val="00192B4B"/>
    <w:rsid w:val="00193358"/>
    <w:rsid w:val="00193500"/>
    <w:rsid w:val="00193FAE"/>
    <w:rsid w:val="00194AEE"/>
    <w:rsid w:val="00194D3B"/>
    <w:rsid w:val="00194FD9"/>
    <w:rsid w:val="0019532D"/>
    <w:rsid w:val="00195EF6"/>
    <w:rsid w:val="00196080"/>
    <w:rsid w:val="001965B3"/>
    <w:rsid w:val="001968CC"/>
    <w:rsid w:val="00196C8A"/>
    <w:rsid w:val="0019743B"/>
    <w:rsid w:val="00197974"/>
    <w:rsid w:val="00197B44"/>
    <w:rsid w:val="001A0D6A"/>
    <w:rsid w:val="001A1348"/>
    <w:rsid w:val="001A24A9"/>
    <w:rsid w:val="001A27F3"/>
    <w:rsid w:val="001A3620"/>
    <w:rsid w:val="001A3640"/>
    <w:rsid w:val="001A379A"/>
    <w:rsid w:val="001A497B"/>
    <w:rsid w:val="001A4AAB"/>
    <w:rsid w:val="001A4D5F"/>
    <w:rsid w:val="001A7533"/>
    <w:rsid w:val="001B09C5"/>
    <w:rsid w:val="001B0E9C"/>
    <w:rsid w:val="001B2C9B"/>
    <w:rsid w:val="001B31C1"/>
    <w:rsid w:val="001B3DE9"/>
    <w:rsid w:val="001B52BF"/>
    <w:rsid w:val="001B5BF1"/>
    <w:rsid w:val="001B61E1"/>
    <w:rsid w:val="001B63F6"/>
    <w:rsid w:val="001B71D2"/>
    <w:rsid w:val="001C0C76"/>
    <w:rsid w:val="001C22B5"/>
    <w:rsid w:val="001C24E3"/>
    <w:rsid w:val="001C2DBA"/>
    <w:rsid w:val="001C31F5"/>
    <w:rsid w:val="001C3687"/>
    <w:rsid w:val="001C51B2"/>
    <w:rsid w:val="001D0720"/>
    <w:rsid w:val="001D0A80"/>
    <w:rsid w:val="001D0C23"/>
    <w:rsid w:val="001D0E3E"/>
    <w:rsid w:val="001D1350"/>
    <w:rsid w:val="001D1414"/>
    <w:rsid w:val="001D17FD"/>
    <w:rsid w:val="001D3DCA"/>
    <w:rsid w:val="001D4526"/>
    <w:rsid w:val="001D4E86"/>
    <w:rsid w:val="001D66A3"/>
    <w:rsid w:val="001D67A6"/>
    <w:rsid w:val="001D71E0"/>
    <w:rsid w:val="001D7F25"/>
    <w:rsid w:val="001E006C"/>
    <w:rsid w:val="001E13CF"/>
    <w:rsid w:val="001E18B3"/>
    <w:rsid w:val="001E3456"/>
    <w:rsid w:val="001E3657"/>
    <w:rsid w:val="001E4509"/>
    <w:rsid w:val="001E4795"/>
    <w:rsid w:val="001E4DC1"/>
    <w:rsid w:val="001E4F64"/>
    <w:rsid w:val="001E52B8"/>
    <w:rsid w:val="001E5872"/>
    <w:rsid w:val="001E7641"/>
    <w:rsid w:val="001E7CED"/>
    <w:rsid w:val="001F0194"/>
    <w:rsid w:val="001F06C1"/>
    <w:rsid w:val="001F0CCF"/>
    <w:rsid w:val="001F176A"/>
    <w:rsid w:val="001F3001"/>
    <w:rsid w:val="001F3706"/>
    <w:rsid w:val="001F4D54"/>
    <w:rsid w:val="001F52FE"/>
    <w:rsid w:val="001F7166"/>
    <w:rsid w:val="001F74D5"/>
    <w:rsid w:val="001F7752"/>
    <w:rsid w:val="0020055B"/>
    <w:rsid w:val="002022C5"/>
    <w:rsid w:val="0020288A"/>
    <w:rsid w:val="002029CC"/>
    <w:rsid w:val="00202D8F"/>
    <w:rsid w:val="00204D6E"/>
    <w:rsid w:val="0020591D"/>
    <w:rsid w:val="002059D1"/>
    <w:rsid w:val="00205D0D"/>
    <w:rsid w:val="002064C2"/>
    <w:rsid w:val="00207F9E"/>
    <w:rsid w:val="00210C63"/>
    <w:rsid w:val="00210D64"/>
    <w:rsid w:val="002115D0"/>
    <w:rsid w:val="00211623"/>
    <w:rsid w:val="0021251E"/>
    <w:rsid w:val="0021281F"/>
    <w:rsid w:val="00214842"/>
    <w:rsid w:val="00214BD1"/>
    <w:rsid w:val="0021554C"/>
    <w:rsid w:val="0021585E"/>
    <w:rsid w:val="0021593D"/>
    <w:rsid w:val="00216970"/>
    <w:rsid w:val="00216D87"/>
    <w:rsid w:val="00216F84"/>
    <w:rsid w:val="0021703D"/>
    <w:rsid w:val="0021731C"/>
    <w:rsid w:val="00217CC2"/>
    <w:rsid w:val="002227B8"/>
    <w:rsid w:val="00222D4D"/>
    <w:rsid w:val="00224C09"/>
    <w:rsid w:val="00224FE1"/>
    <w:rsid w:val="0022611E"/>
    <w:rsid w:val="00227612"/>
    <w:rsid w:val="00231088"/>
    <w:rsid w:val="00235723"/>
    <w:rsid w:val="00235856"/>
    <w:rsid w:val="002361E0"/>
    <w:rsid w:val="00236209"/>
    <w:rsid w:val="00236226"/>
    <w:rsid w:val="00236661"/>
    <w:rsid w:val="00236BF7"/>
    <w:rsid w:val="00240A52"/>
    <w:rsid w:val="00240A67"/>
    <w:rsid w:val="002412B8"/>
    <w:rsid w:val="002421EA"/>
    <w:rsid w:val="00242F6A"/>
    <w:rsid w:val="00243455"/>
    <w:rsid w:val="00243711"/>
    <w:rsid w:val="00243781"/>
    <w:rsid w:val="00245C60"/>
    <w:rsid w:val="002460FD"/>
    <w:rsid w:val="00246D7E"/>
    <w:rsid w:val="0024718C"/>
    <w:rsid w:val="00247493"/>
    <w:rsid w:val="00247494"/>
    <w:rsid w:val="00247AA6"/>
    <w:rsid w:val="00247F53"/>
    <w:rsid w:val="00251B60"/>
    <w:rsid w:val="002529BB"/>
    <w:rsid w:val="00252EB0"/>
    <w:rsid w:val="00252F16"/>
    <w:rsid w:val="00253237"/>
    <w:rsid w:val="002539BD"/>
    <w:rsid w:val="002607E8"/>
    <w:rsid w:val="002615AA"/>
    <w:rsid w:val="00262FA2"/>
    <w:rsid w:val="002633AF"/>
    <w:rsid w:val="00264492"/>
    <w:rsid w:val="002652D3"/>
    <w:rsid w:val="002668A6"/>
    <w:rsid w:val="00266CC0"/>
    <w:rsid w:val="00266CFB"/>
    <w:rsid w:val="00267DBF"/>
    <w:rsid w:val="00270D81"/>
    <w:rsid w:val="00271431"/>
    <w:rsid w:val="0027152B"/>
    <w:rsid w:val="00271658"/>
    <w:rsid w:val="00272498"/>
    <w:rsid w:val="00274FF2"/>
    <w:rsid w:val="00276543"/>
    <w:rsid w:val="00280335"/>
    <w:rsid w:val="00280646"/>
    <w:rsid w:val="00280C6E"/>
    <w:rsid w:val="00281764"/>
    <w:rsid w:val="00282169"/>
    <w:rsid w:val="00282912"/>
    <w:rsid w:val="00282FBA"/>
    <w:rsid w:val="002831AD"/>
    <w:rsid w:val="0028347E"/>
    <w:rsid w:val="00283FA4"/>
    <w:rsid w:val="00285FAB"/>
    <w:rsid w:val="0028690B"/>
    <w:rsid w:val="00286C33"/>
    <w:rsid w:val="002904C9"/>
    <w:rsid w:val="00290EC0"/>
    <w:rsid w:val="00291004"/>
    <w:rsid w:val="0029203D"/>
    <w:rsid w:val="002936A5"/>
    <w:rsid w:val="00293EA7"/>
    <w:rsid w:val="00293F6A"/>
    <w:rsid w:val="00295089"/>
    <w:rsid w:val="00295A4D"/>
    <w:rsid w:val="00295B4E"/>
    <w:rsid w:val="002966E8"/>
    <w:rsid w:val="00296BCE"/>
    <w:rsid w:val="00296EF3"/>
    <w:rsid w:val="00297647"/>
    <w:rsid w:val="002A2D34"/>
    <w:rsid w:val="002A36A0"/>
    <w:rsid w:val="002A3C58"/>
    <w:rsid w:val="002A3FE6"/>
    <w:rsid w:val="002A5388"/>
    <w:rsid w:val="002A57A1"/>
    <w:rsid w:val="002A619B"/>
    <w:rsid w:val="002A65F1"/>
    <w:rsid w:val="002A7681"/>
    <w:rsid w:val="002A7C59"/>
    <w:rsid w:val="002B0A21"/>
    <w:rsid w:val="002B0CD2"/>
    <w:rsid w:val="002B1714"/>
    <w:rsid w:val="002B28DD"/>
    <w:rsid w:val="002B2BE1"/>
    <w:rsid w:val="002B3362"/>
    <w:rsid w:val="002B3671"/>
    <w:rsid w:val="002B41FC"/>
    <w:rsid w:val="002B5C32"/>
    <w:rsid w:val="002B5DCE"/>
    <w:rsid w:val="002B6AD5"/>
    <w:rsid w:val="002B6CE1"/>
    <w:rsid w:val="002C01A9"/>
    <w:rsid w:val="002C08EE"/>
    <w:rsid w:val="002C15C6"/>
    <w:rsid w:val="002C1733"/>
    <w:rsid w:val="002C196D"/>
    <w:rsid w:val="002C1C22"/>
    <w:rsid w:val="002C1DA2"/>
    <w:rsid w:val="002C1EAD"/>
    <w:rsid w:val="002C250F"/>
    <w:rsid w:val="002C3D44"/>
    <w:rsid w:val="002C3FAC"/>
    <w:rsid w:val="002C4256"/>
    <w:rsid w:val="002C4457"/>
    <w:rsid w:val="002C4783"/>
    <w:rsid w:val="002C47AE"/>
    <w:rsid w:val="002C54BA"/>
    <w:rsid w:val="002C61F3"/>
    <w:rsid w:val="002C62EA"/>
    <w:rsid w:val="002C66A3"/>
    <w:rsid w:val="002C6F4A"/>
    <w:rsid w:val="002C76B3"/>
    <w:rsid w:val="002C78B9"/>
    <w:rsid w:val="002C7F90"/>
    <w:rsid w:val="002D0D3B"/>
    <w:rsid w:val="002D1A53"/>
    <w:rsid w:val="002D1FEF"/>
    <w:rsid w:val="002D2C12"/>
    <w:rsid w:val="002D2FFC"/>
    <w:rsid w:val="002D4FDC"/>
    <w:rsid w:val="002D5040"/>
    <w:rsid w:val="002D5CB5"/>
    <w:rsid w:val="002D5D3B"/>
    <w:rsid w:val="002D61F2"/>
    <w:rsid w:val="002D6441"/>
    <w:rsid w:val="002D6586"/>
    <w:rsid w:val="002D6AC2"/>
    <w:rsid w:val="002D6F51"/>
    <w:rsid w:val="002D75B2"/>
    <w:rsid w:val="002D7A43"/>
    <w:rsid w:val="002E1DCC"/>
    <w:rsid w:val="002E26DF"/>
    <w:rsid w:val="002E2C02"/>
    <w:rsid w:val="002E2F41"/>
    <w:rsid w:val="002E3E1A"/>
    <w:rsid w:val="002E56FA"/>
    <w:rsid w:val="002E620A"/>
    <w:rsid w:val="002E7059"/>
    <w:rsid w:val="002F0511"/>
    <w:rsid w:val="002F0A16"/>
    <w:rsid w:val="002F1053"/>
    <w:rsid w:val="002F1199"/>
    <w:rsid w:val="002F127D"/>
    <w:rsid w:val="002F135B"/>
    <w:rsid w:val="002F1390"/>
    <w:rsid w:val="002F1409"/>
    <w:rsid w:val="002F1556"/>
    <w:rsid w:val="002F2B9F"/>
    <w:rsid w:val="002F5173"/>
    <w:rsid w:val="002F6784"/>
    <w:rsid w:val="002F7B92"/>
    <w:rsid w:val="002F7DF5"/>
    <w:rsid w:val="003001FB"/>
    <w:rsid w:val="0030029D"/>
    <w:rsid w:val="00300726"/>
    <w:rsid w:val="00301A55"/>
    <w:rsid w:val="003034AE"/>
    <w:rsid w:val="00303F91"/>
    <w:rsid w:val="00304028"/>
    <w:rsid w:val="00304B81"/>
    <w:rsid w:val="0030555E"/>
    <w:rsid w:val="00306C1A"/>
    <w:rsid w:val="00307812"/>
    <w:rsid w:val="003078CE"/>
    <w:rsid w:val="00310A01"/>
    <w:rsid w:val="003119A8"/>
    <w:rsid w:val="003119B5"/>
    <w:rsid w:val="00311B3D"/>
    <w:rsid w:val="0031210B"/>
    <w:rsid w:val="00312368"/>
    <w:rsid w:val="0031295C"/>
    <w:rsid w:val="00312F1B"/>
    <w:rsid w:val="00313054"/>
    <w:rsid w:val="003133EC"/>
    <w:rsid w:val="00313DAA"/>
    <w:rsid w:val="00313DFD"/>
    <w:rsid w:val="00314BC1"/>
    <w:rsid w:val="00316692"/>
    <w:rsid w:val="00317448"/>
    <w:rsid w:val="00317F3D"/>
    <w:rsid w:val="00321510"/>
    <w:rsid w:val="00322848"/>
    <w:rsid w:val="003228BF"/>
    <w:rsid w:val="00322E45"/>
    <w:rsid w:val="003242CE"/>
    <w:rsid w:val="00324E08"/>
    <w:rsid w:val="003254CB"/>
    <w:rsid w:val="00325B3E"/>
    <w:rsid w:val="00326454"/>
    <w:rsid w:val="003266C4"/>
    <w:rsid w:val="0032694A"/>
    <w:rsid w:val="00326C91"/>
    <w:rsid w:val="00326ECA"/>
    <w:rsid w:val="00327CBB"/>
    <w:rsid w:val="00327F74"/>
    <w:rsid w:val="00331D5F"/>
    <w:rsid w:val="00332CFC"/>
    <w:rsid w:val="00333A8C"/>
    <w:rsid w:val="0033448E"/>
    <w:rsid w:val="00334D67"/>
    <w:rsid w:val="00336F47"/>
    <w:rsid w:val="00336FBA"/>
    <w:rsid w:val="003371EF"/>
    <w:rsid w:val="00337F84"/>
    <w:rsid w:val="00340A16"/>
    <w:rsid w:val="00340FA0"/>
    <w:rsid w:val="003415A5"/>
    <w:rsid w:val="0034171E"/>
    <w:rsid w:val="003418CB"/>
    <w:rsid w:val="00343384"/>
    <w:rsid w:val="00343696"/>
    <w:rsid w:val="003438BD"/>
    <w:rsid w:val="00344247"/>
    <w:rsid w:val="00344EBC"/>
    <w:rsid w:val="003458BB"/>
    <w:rsid w:val="00346B72"/>
    <w:rsid w:val="003472E2"/>
    <w:rsid w:val="00347C38"/>
    <w:rsid w:val="00351A2D"/>
    <w:rsid w:val="0035247E"/>
    <w:rsid w:val="00352885"/>
    <w:rsid w:val="00352E93"/>
    <w:rsid w:val="0035404E"/>
    <w:rsid w:val="00354FA6"/>
    <w:rsid w:val="00356398"/>
    <w:rsid w:val="0035673C"/>
    <w:rsid w:val="0035679A"/>
    <w:rsid w:val="003571DE"/>
    <w:rsid w:val="003601A8"/>
    <w:rsid w:val="0036060A"/>
    <w:rsid w:val="0036246F"/>
    <w:rsid w:val="00362775"/>
    <w:rsid w:val="00362AF0"/>
    <w:rsid w:val="003632F9"/>
    <w:rsid w:val="00363499"/>
    <w:rsid w:val="003648A7"/>
    <w:rsid w:val="00364B1D"/>
    <w:rsid w:val="00365953"/>
    <w:rsid w:val="003669E2"/>
    <w:rsid w:val="00370FC7"/>
    <w:rsid w:val="00371104"/>
    <w:rsid w:val="00371F2D"/>
    <w:rsid w:val="0037244D"/>
    <w:rsid w:val="0037282B"/>
    <w:rsid w:val="003729E5"/>
    <w:rsid w:val="00373455"/>
    <w:rsid w:val="00373D8D"/>
    <w:rsid w:val="00374A25"/>
    <w:rsid w:val="003755EA"/>
    <w:rsid w:val="00375A52"/>
    <w:rsid w:val="00377843"/>
    <w:rsid w:val="003805E6"/>
    <w:rsid w:val="003817E7"/>
    <w:rsid w:val="00381CDC"/>
    <w:rsid w:val="0038208C"/>
    <w:rsid w:val="00382B5F"/>
    <w:rsid w:val="003839C3"/>
    <w:rsid w:val="00383A58"/>
    <w:rsid w:val="00383B49"/>
    <w:rsid w:val="00384B93"/>
    <w:rsid w:val="0038559C"/>
    <w:rsid w:val="00385C88"/>
    <w:rsid w:val="0038627D"/>
    <w:rsid w:val="003863E8"/>
    <w:rsid w:val="003869BB"/>
    <w:rsid w:val="00387337"/>
    <w:rsid w:val="003913AB"/>
    <w:rsid w:val="003918B6"/>
    <w:rsid w:val="00391FFB"/>
    <w:rsid w:val="00392612"/>
    <w:rsid w:val="0039263D"/>
    <w:rsid w:val="0039305D"/>
    <w:rsid w:val="00393C16"/>
    <w:rsid w:val="00393D95"/>
    <w:rsid w:val="0039403E"/>
    <w:rsid w:val="00394279"/>
    <w:rsid w:val="003943CB"/>
    <w:rsid w:val="00394D36"/>
    <w:rsid w:val="00395B8A"/>
    <w:rsid w:val="00396A5F"/>
    <w:rsid w:val="00397C20"/>
    <w:rsid w:val="00397FC0"/>
    <w:rsid w:val="003A052B"/>
    <w:rsid w:val="003A0961"/>
    <w:rsid w:val="003A1D76"/>
    <w:rsid w:val="003A2015"/>
    <w:rsid w:val="003A2582"/>
    <w:rsid w:val="003A3FBD"/>
    <w:rsid w:val="003A4B21"/>
    <w:rsid w:val="003A62E7"/>
    <w:rsid w:val="003A6DD5"/>
    <w:rsid w:val="003A6E00"/>
    <w:rsid w:val="003A7425"/>
    <w:rsid w:val="003B01B2"/>
    <w:rsid w:val="003B0CAC"/>
    <w:rsid w:val="003B1BB8"/>
    <w:rsid w:val="003B1CD8"/>
    <w:rsid w:val="003B257C"/>
    <w:rsid w:val="003B27F0"/>
    <w:rsid w:val="003B2AE6"/>
    <w:rsid w:val="003B2D95"/>
    <w:rsid w:val="003B2E77"/>
    <w:rsid w:val="003B4045"/>
    <w:rsid w:val="003B4E0D"/>
    <w:rsid w:val="003B5885"/>
    <w:rsid w:val="003B58D7"/>
    <w:rsid w:val="003B602E"/>
    <w:rsid w:val="003B66A9"/>
    <w:rsid w:val="003B69EE"/>
    <w:rsid w:val="003B7090"/>
    <w:rsid w:val="003B730A"/>
    <w:rsid w:val="003B7783"/>
    <w:rsid w:val="003B7833"/>
    <w:rsid w:val="003B7DBF"/>
    <w:rsid w:val="003C02E7"/>
    <w:rsid w:val="003C067C"/>
    <w:rsid w:val="003C10E8"/>
    <w:rsid w:val="003C14E1"/>
    <w:rsid w:val="003C19FB"/>
    <w:rsid w:val="003C2095"/>
    <w:rsid w:val="003C3DD1"/>
    <w:rsid w:val="003C3ED5"/>
    <w:rsid w:val="003C467F"/>
    <w:rsid w:val="003C47D0"/>
    <w:rsid w:val="003C5090"/>
    <w:rsid w:val="003C52A3"/>
    <w:rsid w:val="003C5696"/>
    <w:rsid w:val="003C5C05"/>
    <w:rsid w:val="003C751D"/>
    <w:rsid w:val="003C76BA"/>
    <w:rsid w:val="003D0DCA"/>
    <w:rsid w:val="003D2710"/>
    <w:rsid w:val="003D37B3"/>
    <w:rsid w:val="003D4E5E"/>
    <w:rsid w:val="003D517E"/>
    <w:rsid w:val="003D5D8D"/>
    <w:rsid w:val="003E10B3"/>
    <w:rsid w:val="003E1779"/>
    <w:rsid w:val="003E1CE4"/>
    <w:rsid w:val="003E1D3F"/>
    <w:rsid w:val="003E2D0F"/>
    <w:rsid w:val="003E46BC"/>
    <w:rsid w:val="003E4F24"/>
    <w:rsid w:val="003E53B6"/>
    <w:rsid w:val="003E5C6F"/>
    <w:rsid w:val="003E65E6"/>
    <w:rsid w:val="003F0F33"/>
    <w:rsid w:val="003F1D82"/>
    <w:rsid w:val="003F2CBC"/>
    <w:rsid w:val="003F347A"/>
    <w:rsid w:val="003F4BB2"/>
    <w:rsid w:val="003F50E2"/>
    <w:rsid w:val="003F5954"/>
    <w:rsid w:val="003F5B46"/>
    <w:rsid w:val="003F60F1"/>
    <w:rsid w:val="003F7B9F"/>
    <w:rsid w:val="00400321"/>
    <w:rsid w:val="00400403"/>
    <w:rsid w:val="00400593"/>
    <w:rsid w:val="004005E3"/>
    <w:rsid w:val="004007D0"/>
    <w:rsid w:val="00403775"/>
    <w:rsid w:val="004043C0"/>
    <w:rsid w:val="00405E01"/>
    <w:rsid w:val="00405E5E"/>
    <w:rsid w:val="00405FB9"/>
    <w:rsid w:val="0040642B"/>
    <w:rsid w:val="0041042A"/>
    <w:rsid w:val="004117CC"/>
    <w:rsid w:val="00411900"/>
    <w:rsid w:val="00411FAD"/>
    <w:rsid w:val="00411FC8"/>
    <w:rsid w:val="00414008"/>
    <w:rsid w:val="004147C3"/>
    <w:rsid w:val="00414963"/>
    <w:rsid w:val="004150C3"/>
    <w:rsid w:val="004165CE"/>
    <w:rsid w:val="00416CFE"/>
    <w:rsid w:val="004173D1"/>
    <w:rsid w:val="00417BE4"/>
    <w:rsid w:val="00420928"/>
    <w:rsid w:val="004211AB"/>
    <w:rsid w:val="00423ADF"/>
    <w:rsid w:val="004247CD"/>
    <w:rsid w:val="00424A0A"/>
    <w:rsid w:val="00424A53"/>
    <w:rsid w:val="00424D76"/>
    <w:rsid w:val="004254A0"/>
    <w:rsid w:val="004254E5"/>
    <w:rsid w:val="0042625B"/>
    <w:rsid w:val="004264B0"/>
    <w:rsid w:val="004267E4"/>
    <w:rsid w:val="00426F05"/>
    <w:rsid w:val="00427C49"/>
    <w:rsid w:val="00430AC2"/>
    <w:rsid w:val="0043122E"/>
    <w:rsid w:val="0043125E"/>
    <w:rsid w:val="00432206"/>
    <w:rsid w:val="00432FB2"/>
    <w:rsid w:val="00433097"/>
    <w:rsid w:val="00435761"/>
    <w:rsid w:val="004366D7"/>
    <w:rsid w:val="00437616"/>
    <w:rsid w:val="00437D4C"/>
    <w:rsid w:val="00441E7B"/>
    <w:rsid w:val="004420FE"/>
    <w:rsid w:val="00443E75"/>
    <w:rsid w:val="00445B0B"/>
    <w:rsid w:val="0044690E"/>
    <w:rsid w:val="00447782"/>
    <w:rsid w:val="0045051F"/>
    <w:rsid w:val="004506C1"/>
    <w:rsid w:val="00451C08"/>
    <w:rsid w:val="004527E3"/>
    <w:rsid w:val="004536AB"/>
    <w:rsid w:val="00453D92"/>
    <w:rsid w:val="00454B56"/>
    <w:rsid w:val="00454CFB"/>
    <w:rsid w:val="00454D2F"/>
    <w:rsid w:val="00456230"/>
    <w:rsid w:val="00456590"/>
    <w:rsid w:val="004568BC"/>
    <w:rsid w:val="00457D5E"/>
    <w:rsid w:val="00460E56"/>
    <w:rsid w:val="004622FD"/>
    <w:rsid w:val="00462A19"/>
    <w:rsid w:val="00462BAD"/>
    <w:rsid w:val="00463A1B"/>
    <w:rsid w:val="0046429C"/>
    <w:rsid w:val="0046431E"/>
    <w:rsid w:val="00464BAD"/>
    <w:rsid w:val="00464D29"/>
    <w:rsid w:val="00464E13"/>
    <w:rsid w:val="00464EB1"/>
    <w:rsid w:val="00465BC9"/>
    <w:rsid w:val="004661EA"/>
    <w:rsid w:val="00466218"/>
    <w:rsid w:val="0046686D"/>
    <w:rsid w:val="00467560"/>
    <w:rsid w:val="004677B6"/>
    <w:rsid w:val="0047174C"/>
    <w:rsid w:val="004729BC"/>
    <w:rsid w:val="00472B62"/>
    <w:rsid w:val="00473345"/>
    <w:rsid w:val="0047469E"/>
    <w:rsid w:val="00475943"/>
    <w:rsid w:val="004763BD"/>
    <w:rsid w:val="00477A80"/>
    <w:rsid w:val="00480644"/>
    <w:rsid w:val="00480AD0"/>
    <w:rsid w:val="004825F0"/>
    <w:rsid w:val="00482D8B"/>
    <w:rsid w:val="0048307D"/>
    <w:rsid w:val="0048352F"/>
    <w:rsid w:val="004836C4"/>
    <w:rsid w:val="00483BD1"/>
    <w:rsid w:val="00484BF8"/>
    <w:rsid w:val="004864E4"/>
    <w:rsid w:val="004865C4"/>
    <w:rsid w:val="004869E1"/>
    <w:rsid w:val="00487268"/>
    <w:rsid w:val="0049086C"/>
    <w:rsid w:val="00490F56"/>
    <w:rsid w:val="00491090"/>
    <w:rsid w:val="004911B8"/>
    <w:rsid w:val="00491210"/>
    <w:rsid w:val="0049155B"/>
    <w:rsid w:val="004937C3"/>
    <w:rsid w:val="00494F1F"/>
    <w:rsid w:val="00495E2F"/>
    <w:rsid w:val="00495F9E"/>
    <w:rsid w:val="004963F2"/>
    <w:rsid w:val="00496780"/>
    <w:rsid w:val="00496DBE"/>
    <w:rsid w:val="0049704E"/>
    <w:rsid w:val="004A0784"/>
    <w:rsid w:val="004A0A53"/>
    <w:rsid w:val="004A0EC8"/>
    <w:rsid w:val="004A10FC"/>
    <w:rsid w:val="004A12D5"/>
    <w:rsid w:val="004A15D4"/>
    <w:rsid w:val="004A1976"/>
    <w:rsid w:val="004A1A29"/>
    <w:rsid w:val="004A1E2D"/>
    <w:rsid w:val="004A2582"/>
    <w:rsid w:val="004A3664"/>
    <w:rsid w:val="004A428C"/>
    <w:rsid w:val="004A44A2"/>
    <w:rsid w:val="004A46DC"/>
    <w:rsid w:val="004A4CF3"/>
    <w:rsid w:val="004A4EF0"/>
    <w:rsid w:val="004A55B1"/>
    <w:rsid w:val="004A5C9B"/>
    <w:rsid w:val="004A62D6"/>
    <w:rsid w:val="004A793F"/>
    <w:rsid w:val="004A7B08"/>
    <w:rsid w:val="004A7C93"/>
    <w:rsid w:val="004B0841"/>
    <w:rsid w:val="004B1566"/>
    <w:rsid w:val="004B1A2C"/>
    <w:rsid w:val="004B1EC3"/>
    <w:rsid w:val="004B2632"/>
    <w:rsid w:val="004B2D8D"/>
    <w:rsid w:val="004B3BEA"/>
    <w:rsid w:val="004B4E41"/>
    <w:rsid w:val="004B51D6"/>
    <w:rsid w:val="004B52B9"/>
    <w:rsid w:val="004B54C1"/>
    <w:rsid w:val="004B5652"/>
    <w:rsid w:val="004B569E"/>
    <w:rsid w:val="004B7626"/>
    <w:rsid w:val="004C006B"/>
    <w:rsid w:val="004C0FBA"/>
    <w:rsid w:val="004C2431"/>
    <w:rsid w:val="004C2C30"/>
    <w:rsid w:val="004C2DEB"/>
    <w:rsid w:val="004C2F42"/>
    <w:rsid w:val="004C3B6B"/>
    <w:rsid w:val="004C42F6"/>
    <w:rsid w:val="004C4BF1"/>
    <w:rsid w:val="004C4C04"/>
    <w:rsid w:val="004C5077"/>
    <w:rsid w:val="004C55AD"/>
    <w:rsid w:val="004C5CB6"/>
    <w:rsid w:val="004C5F7C"/>
    <w:rsid w:val="004C6870"/>
    <w:rsid w:val="004C6AEA"/>
    <w:rsid w:val="004C7B94"/>
    <w:rsid w:val="004D020D"/>
    <w:rsid w:val="004D0B7D"/>
    <w:rsid w:val="004D0FEE"/>
    <w:rsid w:val="004D263A"/>
    <w:rsid w:val="004D2A8C"/>
    <w:rsid w:val="004D3544"/>
    <w:rsid w:val="004D40D4"/>
    <w:rsid w:val="004D4E2A"/>
    <w:rsid w:val="004D5C36"/>
    <w:rsid w:val="004D62B7"/>
    <w:rsid w:val="004D6756"/>
    <w:rsid w:val="004D6FBF"/>
    <w:rsid w:val="004E09DE"/>
    <w:rsid w:val="004E0B19"/>
    <w:rsid w:val="004E0CEC"/>
    <w:rsid w:val="004E0DC1"/>
    <w:rsid w:val="004E1B0A"/>
    <w:rsid w:val="004E3E3B"/>
    <w:rsid w:val="004E4283"/>
    <w:rsid w:val="004E7B2F"/>
    <w:rsid w:val="004F0C2A"/>
    <w:rsid w:val="004F19B4"/>
    <w:rsid w:val="004F1B8E"/>
    <w:rsid w:val="004F1FAD"/>
    <w:rsid w:val="004F22C7"/>
    <w:rsid w:val="004F310F"/>
    <w:rsid w:val="004F3E97"/>
    <w:rsid w:val="004F41AD"/>
    <w:rsid w:val="004F6D86"/>
    <w:rsid w:val="005011D9"/>
    <w:rsid w:val="00501A4A"/>
    <w:rsid w:val="00502795"/>
    <w:rsid w:val="00502F87"/>
    <w:rsid w:val="00503405"/>
    <w:rsid w:val="005038F0"/>
    <w:rsid w:val="00503B6C"/>
    <w:rsid w:val="005058A2"/>
    <w:rsid w:val="005063C8"/>
    <w:rsid w:val="00506465"/>
    <w:rsid w:val="0050695D"/>
    <w:rsid w:val="00506D31"/>
    <w:rsid w:val="00506D99"/>
    <w:rsid w:val="005071F9"/>
    <w:rsid w:val="0050723F"/>
    <w:rsid w:val="00507AFC"/>
    <w:rsid w:val="00510581"/>
    <w:rsid w:val="00510BB8"/>
    <w:rsid w:val="00510E3B"/>
    <w:rsid w:val="00511997"/>
    <w:rsid w:val="00512123"/>
    <w:rsid w:val="00512586"/>
    <w:rsid w:val="00512DB3"/>
    <w:rsid w:val="00513501"/>
    <w:rsid w:val="00513CC8"/>
    <w:rsid w:val="005144AF"/>
    <w:rsid w:val="0051469C"/>
    <w:rsid w:val="005155D3"/>
    <w:rsid w:val="005170E3"/>
    <w:rsid w:val="005171E6"/>
    <w:rsid w:val="005208AD"/>
    <w:rsid w:val="0052098A"/>
    <w:rsid w:val="00521430"/>
    <w:rsid w:val="0052183F"/>
    <w:rsid w:val="00521A2A"/>
    <w:rsid w:val="00521B30"/>
    <w:rsid w:val="00522C73"/>
    <w:rsid w:val="00524B05"/>
    <w:rsid w:val="00524EB3"/>
    <w:rsid w:val="005262ED"/>
    <w:rsid w:val="00527A9A"/>
    <w:rsid w:val="00527FDE"/>
    <w:rsid w:val="0053212B"/>
    <w:rsid w:val="00532CD1"/>
    <w:rsid w:val="00532D9C"/>
    <w:rsid w:val="00533866"/>
    <w:rsid w:val="00533CC2"/>
    <w:rsid w:val="0053436C"/>
    <w:rsid w:val="00534B72"/>
    <w:rsid w:val="00534ED0"/>
    <w:rsid w:val="005362B7"/>
    <w:rsid w:val="00536844"/>
    <w:rsid w:val="0054170F"/>
    <w:rsid w:val="00541852"/>
    <w:rsid w:val="00542340"/>
    <w:rsid w:val="00542C64"/>
    <w:rsid w:val="00542C6F"/>
    <w:rsid w:val="0054320A"/>
    <w:rsid w:val="0054378F"/>
    <w:rsid w:val="005439E0"/>
    <w:rsid w:val="00543A50"/>
    <w:rsid w:val="00543FD8"/>
    <w:rsid w:val="00544093"/>
    <w:rsid w:val="005454FC"/>
    <w:rsid w:val="00545C77"/>
    <w:rsid w:val="005461BC"/>
    <w:rsid w:val="005466E2"/>
    <w:rsid w:val="00550598"/>
    <w:rsid w:val="00550C69"/>
    <w:rsid w:val="005530F9"/>
    <w:rsid w:val="00553BD7"/>
    <w:rsid w:val="00553E89"/>
    <w:rsid w:val="0055538B"/>
    <w:rsid w:val="005557ED"/>
    <w:rsid w:val="005564D2"/>
    <w:rsid w:val="00556582"/>
    <w:rsid w:val="00556F26"/>
    <w:rsid w:val="00557D31"/>
    <w:rsid w:val="00557E0A"/>
    <w:rsid w:val="00557FAC"/>
    <w:rsid w:val="0056246A"/>
    <w:rsid w:val="00562970"/>
    <w:rsid w:val="00563040"/>
    <w:rsid w:val="00564B5E"/>
    <w:rsid w:val="005653BC"/>
    <w:rsid w:val="00565BCD"/>
    <w:rsid w:val="00566907"/>
    <w:rsid w:val="00567B5C"/>
    <w:rsid w:val="00570808"/>
    <w:rsid w:val="00571E78"/>
    <w:rsid w:val="00571F7D"/>
    <w:rsid w:val="0057435F"/>
    <w:rsid w:val="005745CC"/>
    <w:rsid w:val="0057472E"/>
    <w:rsid w:val="00576542"/>
    <w:rsid w:val="005770A9"/>
    <w:rsid w:val="0057725D"/>
    <w:rsid w:val="00577704"/>
    <w:rsid w:val="00580207"/>
    <w:rsid w:val="00580756"/>
    <w:rsid w:val="00580DFE"/>
    <w:rsid w:val="00581C2C"/>
    <w:rsid w:val="0058320D"/>
    <w:rsid w:val="005832F5"/>
    <w:rsid w:val="00583B6D"/>
    <w:rsid w:val="00584407"/>
    <w:rsid w:val="00585048"/>
    <w:rsid w:val="00586075"/>
    <w:rsid w:val="00586BA7"/>
    <w:rsid w:val="00590A89"/>
    <w:rsid w:val="005910CC"/>
    <w:rsid w:val="005917C2"/>
    <w:rsid w:val="00591B8C"/>
    <w:rsid w:val="00591D25"/>
    <w:rsid w:val="00591EFC"/>
    <w:rsid w:val="005920A5"/>
    <w:rsid w:val="00592562"/>
    <w:rsid w:val="00592EBB"/>
    <w:rsid w:val="0059345B"/>
    <w:rsid w:val="00593736"/>
    <w:rsid w:val="00593E5F"/>
    <w:rsid w:val="00594263"/>
    <w:rsid w:val="005946CF"/>
    <w:rsid w:val="00594DC9"/>
    <w:rsid w:val="00595A27"/>
    <w:rsid w:val="00596E72"/>
    <w:rsid w:val="005971F9"/>
    <w:rsid w:val="00597610"/>
    <w:rsid w:val="00597747"/>
    <w:rsid w:val="005A08F1"/>
    <w:rsid w:val="005A0B91"/>
    <w:rsid w:val="005A0CB7"/>
    <w:rsid w:val="005A0DDE"/>
    <w:rsid w:val="005A0F6B"/>
    <w:rsid w:val="005A12F8"/>
    <w:rsid w:val="005A20F6"/>
    <w:rsid w:val="005A2671"/>
    <w:rsid w:val="005A271A"/>
    <w:rsid w:val="005A333D"/>
    <w:rsid w:val="005A4840"/>
    <w:rsid w:val="005A4F07"/>
    <w:rsid w:val="005A530A"/>
    <w:rsid w:val="005A5E60"/>
    <w:rsid w:val="005A6623"/>
    <w:rsid w:val="005A6B30"/>
    <w:rsid w:val="005B0ED0"/>
    <w:rsid w:val="005B1322"/>
    <w:rsid w:val="005B13BD"/>
    <w:rsid w:val="005B23E0"/>
    <w:rsid w:val="005B388D"/>
    <w:rsid w:val="005B3E7A"/>
    <w:rsid w:val="005B442E"/>
    <w:rsid w:val="005B4CCC"/>
    <w:rsid w:val="005B5371"/>
    <w:rsid w:val="005B5AFD"/>
    <w:rsid w:val="005B68A2"/>
    <w:rsid w:val="005B7084"/>
    <w:rsid w:val="005B7907"/>
    <w:rsid w:val="005C19D8"/>
    <w:rsid w:val="005C1CEA"/>
    <w:rsid w:val="005C2664"/>
    <w:rsid w:val="005C2963"/>
    <w:rsid w:val="005C2A06"/>
    <w:rsid w:val="005C2C8D"/>
    <w:rsid w:val="005C39E1"/>
    <w:rsid w:val="005C3E77"/>
    <w:rsid w:val="005C4F60"/>
    <w:rsid w:val="005C57FB"/>
    <w:rsid w:val="005C608E"/>
    <w:rsid w:val="005C640A"/>
    <w:rsid w:val="005C6D5C"/>
    <w:rsid w:val="005C7F98"/>
    <w:rsid w:val="005D1296"/>
    <w:rsid w:val="005D189B"/>
    <w:rsid w:val="005D27D1"/>
    <w:rsid w:val="005D3206"/>
    <w:rsid w:val="005D3324"/>
    <w:rsid w:val="005D36F3"/>
    <w:rsid w:val="005D379F"/>
    <w:rsid w:val="005D4BA6"/>
    <w:rsid w:val="005D55BF"/>
    <w:rsid w:val="005D6481"/>
    <w:rsid w:val="005D7263"/>
    <w:rsid w:val="005E041E"/>
    <w:rsid w:val="005E2087"/>
    <w:rsid w:val="005E32DE"/>
    <w:rsid w:val="005E3C17"/>
    <w:rsid w:val="005E3E63"/>
    <w:rsid w:val="005E44C6"/>
    <w:rsid w:val="005E4E57"/>
    <w:rsid w:val="005E551D"/>
    <w:rsid w:val="005E7040"/>
    <w:rsid w:val="005F09E0"/>
    <w:rsid w:val="005F1331"/>
    <w:rsid w:val="005F208A"/>
    <w:rsid w:val="005F228F"/>
    <w:rsid w:val="005F2826"/>
    <w:rsid w:val="005F4037"/>
    <w:rsid w:val="005F42B8"/>
    <w:rsid w:val="005F4751"/>
    <w:rsid w:val="005F4F07"/>
    <w:rsid w:val="005F50D5"/>
    <w:rsid w:val="005F6F42"/>
    <w:rsid w:val="005F765F"/>
    <w:rsid w:val="00601336"/>
    <w:rsid w:val="00601533"/>
    <w:rsid w:val="00601995"/>
    <w:rsid w:val="00601A85"/>
    <w:rsid w:val="006020FC"/>
    <w:rsid w:val="00602E81"/>
    <w:rsid w:val="00603B40"/>
    <w:rsid w:val="00603CBF"/>
    <w:rsid w:val="00604DD6"/>
    <w:rsid w:val="00605B49"/>
    <w:rsid w:val="00606608"/>
    <w:rsid w:val="006069B1"/>
    <w:rsid w:val="00606E8A"/>
    <w:rsid w:val="00606F2D"/>
    <w:rsid w:val="00610786"/>
    <w:rsid w:val="00611730"/>
    <w:rsid w:val="00611C30"/>
    <w:rsid w:val="006120A5"/>
    <w:rsid w:val="00612723"/>
    <w:rsid w:val="00613E9E"/>
    <w:rsid w:val="00614065"/>
    <w:rsid w:val="00614274"/>
    <w:rsid w:val="00615D97"/>
    <w:rsid w:val="006167A7"/>
    <w:rsid w:val="006169CA"/>
    <w:rsid w:val="00616A85"/>
    <w:rsid w:val="00617C4C"/>
    <w:rsid w:val="006218CA"/>
    <w:rsid w:val="006228C9"/>
    <w:rsid w:val="0062388A"/>
    <w:rsid w:val="00623F1D"/>
    <w:rsid w:val="00624038"/>
    <w:rsid w:val="006242A5"/>
    <w:rsid w:val="0062510F"/>
    <w:rsid w:val="00625716"/>
    <w:rsid w:val="0062572A"/>
    <w:rsid w:val="0062586D"/>
    <w:rsid w:val="006258ED"/>
    <w:rsid w:val="00630AE8"/>
    <w:rsid w:val="00630C49"/>
    <w:rsid w:val="00633386"/>
    <w:rsid w:val="0063592D"/>
    <w:rsid w:val="006359ED"/>
    <w:rsid w:val="00635BB8"/>
    <w:rsid w:val="00636AF7"/>
    <w:rsid w:val="00636DFD"/>
    <w:rsid w:val="006379B2"/>
    <w:rsid w:val="00637B8D"/>
    <w:rsid w:val="006415C9"/>
    <w:rsid w:val="00641D78"/>
    <w:rsid w:val="0064218C"/>
    <w:rsid w:val="006423E1"/>
    <w:rsid w:val="006431E9"/>
    <w:rsid w:val="00643466"/>
    <w:rsid w:val="0064368A"/>
    <w:rsid w:val="006449BE"/>
    <w:rsid w:val="0064642F"/>
    <w:rsid w:val="0064741A"/>
    <w:rsid w:val="006474BB"/>
    <w:rsid w:val="00647730"/>
    <w:rsid w:val="00650376"/>
    <w:rsid w:val="00650377"/>
    <w:rsid w:val="00650BC8"/>
    <w:rsid w:val="0065131B"/>
    <w:rsid w:val="00651C9A"/>
    <w:rsid w:val="00651FBB"/>
    <w:rsid w:val="00652CC3"/>
    <w:rsid w:val="00652D80"/>
    <w:rsid w:val="00653A3C"/>
    <w:rsid w:val="006542BD"/>
    <w:rsid w:val="00654C2E"/>
    <w:rsid w:val="00654C3C"/>
    <w:rsid w:val="006562CD"/>
    <w:rsid w:val="0065653B"/>
    <w:rsid w:val="00656952"/>
    <w:rsid w:val="006569C0"/>
    <w:rsid w:val="00656DB5"/>
    <w:rsid w:val="006577EB"/>
    <w:rsid w:val="0066057F"/>
    <w:rsid w:val="00661C88"/>
    <w:rsid w:val="0066206D"/>
    <w:rsid w:val="006625D4"/>
    <w:rsid w:val="00663075"/>
    <w:rsid w:val="0066339D"/>
    <w:rsid w:val="006644D1"/>
    <w:rsid w:val="00664556"/>
    <w:rsid w:val="006645D5"/>
    <w:rsid w:val="006645DA"/>
    <w:rsid w:val="0066489F"/>
    <w:rsid w:val="00664A6D"/>
    <w:rsid w:val="00665FA9"/>
    <w:rsid w:val="006664AF"/>
    <w:rsid w:val="00666F7C"/>
    <w:rsid w:val="00667FE1"/>
    <w:rsid w:val="0067382E"/>
    <w:rsid w:val="00673C25"/>
    <w:rsid w:val="006740F1"/>
    <w:rsid w:val="006742EE"/>
    <w:rsid w:val="006750FA"/>
    <w:rsid w:val="006758AC"/>
    <w:rsid w:val="0067638B"/>
    <w:rsid w:val="00676406"/>
    <w:rsid w:val="006764C9"/>
    <w:rsid w:val="0067765C"/>
    <w:rsid w:val="00677B22"/>
    <w:rsid w:val="006809FA"/>
    <w:rsid w:val="00680A16"/>
    <w:rsid w:val="00680F96"/>
    <w:rsid w:val="006814F7"/>
    <w:rsid w:val="00682094"/>
    <w:rsid w:val="00682B74"/>
    <w:rsid w:val="00683096"/>
    <w:rsid w:val="00684CC8"/>
    <w:rsid w:val="00684F99"/>
    <w:rsid w:val="00686E88"/>
    <w:rsid w:val="00687E18"/>
    <w:rsid w:val="006907B0"/>
    <w:rsid w:val="006909D3"/>
    <w:rsid w:val="0069116B"/>
    <w:rsid w:val="00691BF8"/>
    <w:rsid w:val="0069277C"/>
    <w:rsid w:val="0069459B"/>
    <w:rsid w:val="006947E1"/>
    <w:rsid w:val="00694A79"/>
    <w:rsid w:val="00695460"/>
    <w:rsid w:val="00695917"/>
    <w:rsid w:val="0069610A"/>
    <w:rsid w:val="006967D0"/>
    <w:rsid w:val="0069727F"/>
    <w:rsid w:val="00697357"/>
    <w:rsid w:val="006A0237"/>
    <w:rsid w:val="006A0CA4"/>
    <w:rsid w:val="006A141E"/>
    <w:rsid w:val="006A14C6"/>
    <w:rsid w:val="006A2E96"/>
    <w:rsid w:val="006A50DB"/>
    <w:rsid w:val="006A632C"/>
    <w:rsid w:val="006A6957"/>
    <w:rsid w:val="006A735C"/>
    <w:rsid w:val="006A7AD4"/>
    <w:rsid w:val="006B00D3"/>
    <w:rsid w:val="006B26EF"/>
    <w:rsid w:val="006B35A6"/>
    <w:rsid w:val="006B4E10"/>
    <w:rsid w:val="006B55D0"/>
    <w:rsid w:val="006B55E9"/>
    <w:rsid w:val="006B5A70"/>
    <w:rsid w:val="006B612C"/>
    <w:rsid w:val="006B63C8"/>
    <w:rsid w:val="006B64C2"/>
    <w:rsid w:val="006B6563"/>
    <w:rsid w:val="006B683F"/>
    <w:rsid w:val="006B7001"/>
    <w:rsid w:val="006B7FF0"/>
    <w:rsid w:val="006C1407"/>
    <w:rsid w:val="006C1421"/>
    <w:rsid w:val="006C1881"/>
    <w:rsid w:val="006C1AFA"/>
    <w:rsid w:val="006C1BA2"/>
    <w:rsid w:val="006C27BA"/>
    <w:rsid w:val="006C289B"/>
    <w:rsid w:val="006C3E18"/>
    <w:rsid w:val="006C4EA6"/>
    <w:rsid w:val="006C6712"/>
    <w:rsid w:val="006C6CE5"/>
    <w:rsid w:val="006C6E7A"/>
    <w:rsid w:val="006C71FD"/>
    <w:rsid w:val="006D156F"/>
    <w:rsid w:val="006D28E3"/>
    <w:rsid w:val="006D313E"/>
    <w:rsid w:val="006D38CF"/>
    <w:rsid w:val="006D4578"/>
    <w:rsid w:val="006D4E85"/>
    <w:rsid w:val="006D58A5"/>
    <w:rsid w:val="006D5DCE"/>
    <w:rsid w:val="006D63A0"/>
    <w:rsid w:val="006D63D2"/>
    <w:rsid w:val="006D697E"/>
    <w:rsid w:val="006D6BF0"/>
    <w:rsid w:val="006D6E34"/>
    <w:rsid w:val="006D7669"/>
    <w:rsid w:val="006E0590"/>
    <w:rsid w:val="006E1D7B"/>
    <w:rsid w:val="006E1E9A"/>
    <w:rsid w:val="006E4A69"/>
    <w:rsid w:val="006E5066"/>
    <w:rsid w:val="006E6089"/>
    <w:rsid w:val="006E6D81"/>
    <w:rsid w:val="006E764D"/>
    <w:rsid w:val="006F25EF"/>
    <w:rsid w:val="006F3763"/>
    <w:rsid w:val="006F4189"/>
    <w:rsid w:val="006F4592"/>
    <w:rsid w:val="006F6054"/>
    <w:rsid w:val="006F6148"/>
    <w:rsid w:val="006F6634"/>
    <w:rsid w:val="006F7148"/>
    <w:rsid w:val="006F7E43"/>
    <w:rsid w:val="00700501"/>
    <w:rsid w:val="007009F3"/>
    <w:rsid w:val="00700DB3"/>
    <w:rsid w:val="007016C9"/>
    <w:rsid w:val="00701994"/>
    <w:rsid w:val="00701F08"/>
    <w:rsid w:val="007030AF"/>
    <w:rsid w:val="00703191"/>
    <w:rsid w:val="007035BC"/>
    <w:rsid w:val="00703654"/>
    <w:rsid w:val="007049DA"/>
    <w:rsid w:val="00704DDB"/>
    <w:rsid w:val="007050A1"/>
    <w:rsid w:val="00705F63"/>
    <w:rsid w:val="00705F8B"/>
    <w:rsid w:val="00706F29"/>
    <w:rsid w:val="00707208"/>
    <w:rsid w:val="00710112"/>
    <w:rsid w:val="00710260"/>
    <w:rsid w:val="007108BD"/>
    <w:rsid w:val="0071275D"/>
    <w:rsid w:val="0071425D"/>
    <w:rsid w:val="00714489"/>
    <w:rsid w:val="0071475A"/>
    <w:rsid w:val="00714A78"/>
    <w:rsid w:val="00715B2F"/>
    <w:rsid w:val="00715C2B"/>
    <w:rsid w:val="00716EAF"/>
    <w:rsid w:val="0071731C"/>
    <w:rsid w:val="0071777A"/>
    <w:rsid w:val="007203D1"/>
    <w:rsid w:val="00720541"/>
    <w:rsid w:val="0072085C"/>
    <w:rsid w:val="00720E8F"/>
    <w:rsid w:val="00721745"/>
    <w:rsid w:val="0072424E"/>
    <w:rsid w:val="00725CCE"/>
    <w:rsid w:val="007270A5"/>
    <w:rsid w:val="00727273"/>
    <w:rsid w:val="00727CC3"/>
    <w:rsid w:val="0073162B"/>
    <w:rsid w:val="00732C11"/>
    <w:rsid w:val="007331D8"/>
    <w:rsid w:val="00733B0F"/>
    <w:rsid w:val="007343B2"/>
    <w:rsid w:val="0073470B"/>
    <w:rsid w:val="0073611F"/>
    <w:rsid w:val="00737C46"/>
    <w:rsid w:val="00737DCD"/>
    <w:rsid w:val="007401B0"/>
    <w:rsid w:val="007402F5"/>
    <w:rsid w:val="00740E65"/>
    <w:rsid w:val="00742139"/>
    <w:rsid w:val="007425A2"/>
    <w:rsid w:val="00742E6E"/>
    <w:rsid w:val="007431C7"/>
    <w:rsid w:val="007431CF"/>
    <w:rsid w:val="0074394B"/>
    <w:rsid w:val="00743A43"/>
    <w:rsid w:val="007450AD"/>
    <w:rsid w:val="00745DD9"/>
    <w:rsid w:val="007471C8"/>
    <w:rsid w:val="00747649"/>
    <w:rsid w:val="00750589"/>
    <w:rsid w:val="00751128"/>
    <w:rsid w:val="00751141"/>
    <w:rsid w:val="00751A81"/>
    <w:rsid w:val="00752326"/>
    <w:rsid w:val="00752FA2"/>
    <w:rsid w:val="00753DCD"/>
    <w:rsid w:val="0075431C"/>
    <w:rsid w:val="00754A85"/>
    <w:rsid w:val="007557B7"/>
    <w:rsid w:val="007566C5"/>
    <w:rsid w:val="0075722E"/>
    <w:rsid w:val="00757BF4"/>
    <w:rsid w:val="00757C65"/>
    <w:rsid w:val="007602CA"/>
    <w:rsid w:val="007622D5"/>
    <w:rsid w:val="00762392"/>
    <w:rsid w:val="00762B53"/>
    <w:rsid w:val="007632C4"/>
    <w:rsid w:val="00763507"/>
    <w:rsid w:val="00763591"/>
    <w:rsid w:val="00763BF8"/>
    <w:rsid w:val="007645FB"/>
    <w:rsid w:val="00764841"/>
    <w:rsid w:val="00766169"/>
    <w:rsid w:val="0076652B"/>
    <w:rsid w:val="00767554"/>
    <w:rsid w:val="00770466"/>
    <w:rsid w:val="00770C89"/>
    <w:rsid w:val="00771001"/>
    <w:rsid w:val="0077179E"/>
    <w:rsid w:val="007727B3"/>
    <w:rsid w:val="00772A59"/>
    <w:rsid w:val="00773A7D"/>
    <w:rsid w:val="00774BC9"/>
    <w:rsid w:val="0077551B"/>
    <w:rsid w:val="007759BC"/>
    <w:rsid w:val="0077632E"/>
    <w:rsid w:val="007772EF"/>
    <w:rsid w:val="0077751E"/>
    <w:rsid w:val="007809DC"/>
    <w:rsid w:val="00780C8B"/>
    <w:rsid w:val="00780D0D"/>
    <w:rsid w:val="00781430"/>
    <w:rsid w:val="00781B26"/>
    <w:rsid w:val="00781E25"/>
    <w:rsid w:val="007824AC"/>
    <w:rsid w:val="00782C0D"/>
    <w:rsid w:val="00783B59"/>
    <w:rsid w:val="007842A3"/>
    <w:rsid w:val="00785B1A"/>
    <w:rsid w:val="007862FE"/>
    <w:rsid w:val="00786501"/>
    <w:rsid w:val="00787529"/>
    <w:rsid w:val="007875BD"/>
    <w:rsid w:val="007900D6"/>
    <w:rsid w:val="00790F4B"/>
    <w:rsid w:val="0079150A"/>
    <w:rsid w:val="007919C8"/>
    <w:rsid w:val="00791A23"/>
    <w:rsid w:val="00791C1B"/>
    <w:rsid w:val="00792C28"/>
    <w:rsid w:val="00793D36"/>
    <w:rsid w:val="00794FC9"/>
    <w:rsid w:val="00796400"/>
    <w:rsid w:val="007A06D0"/>
    <w:rsid w:val="007A0FAB"/>
    <w:rsid w:val="007A11B5"/>
    <w:rsid w:val="007A1A75"/>
    <w:rsid w:val="007A23B9"/>
    <w:rsid w:val="007A2634"/>
    <w:rsid w:val="007A2668"/>
    <w:rsid w:val="007A29A5"/>
    <w:rsid w:val="007A32BF"/>
    <w:rsid w:val="007A3AE6"/>
    <w:rsid w:val="007A4B16"/>
    <w:rsid w:val="007A4FD7"/>
    <w:rsid w:val="007A4FEA"/>
    <w:rsid w:val="007A522D"/>
    <w:rsid w:val="007A55B2"/>
    <w:rsid w:val="007A55B5"/>
    <w:rsid w:val="007A5BF7"/>
    <w:rsid w:val="007A60F8"/>
    <w:rsid w:val="007B00D4"/>
    <w:rsid w:val="007B0420"/>
    <w:rsid w:val="007B0A25"/>
    <w:rsid w:val="007B0B05"/>
    <w:rsid w:val="007B0F94"/>
    <w:rsid w:val="007B13F9"/>
    <w:rsid w:val="007B1AC6"/>
    <w:rsid w:val="007B1DB4"/>
    <w:rsid w:val="007B228D"/>
    <w:rsid w:val="007B3036"/>
    <w:rsid w:val="007B3518"/>
    <w:rsid w:val="007B3C48"/>
    <w:rsid w:val="007B546B"/>
    <w:rsid w:val="007B57EF"/>
    <w:rsid w:val="007B6AE5"/>
    <w:rsid w:val="007B78CB"/>
    <w:rsid w:val="007C03A7"/>
    <w:rsid w:val="007C1694"/>
    <w:rsid w:val="007C22DD"/>
    <w:rsid w:val="007C265A"/>
    <w:rsid w:val="007C369F"/>
    <w:rsid w:val="007C3DB6"/>
    <w:rsid w:val="007C4042"/>
    <w:rsid w:val="007C6311"/>
    <w:rsid w:val="007C68A4"/>
    <w:rsid w:val="007C704D"/>
    <w:rsid w:val="007C7056"/>
    <w:rsid w:val="007C7772"/>
    <w:rsid w:val="007C78DA"/>
    <w:rsid w:val="007D0A10"/>
    <w:rsid w:val="007D131B"/>
    <w:rsid w:val="007D17DD"/>
    <w:rsid w:val="007D1817"/>
    <w:rsid w:val="007D1BD1"/>
    <w:rsid w:val="007D2F46"/>
    <w:rsid w:val="007D442E"/>
    <w:rsid w:val="007D5EDD"/>
    <w:rsid w:val="007D75FD"/>
    <w:rsid w:val="007E11E8"/>
    <w:rsid w:val="007E2534"/>
    <w:rsid w:val="007E444A"/>
    <w:rsid w:val="007E570F"/>
    <w:rsid w:val="007E5C36"/>
    <w:rsid w:val="007E6F73"/>
    <w:rsid w:val="007E701D"/>
    <w:rsid w:val="007F220E"/>
    <w:rsid w:val="007F2C61"/>
    <w:rsid w:val="007F39A1"/>
    <w:rsid w:val="007F3DE8"/>
    <w:rsid w:val="007F4038"/>
    <w:rsid w:val="007F4400"/>
    <w:rsid w:val="007F5903"/>
    <w:rsid w:val="007F6148"/>
    <w:rsid w:val="007F6A64"/>
    <w:rsid w:val="007F755B"/>
    <w:rsid w:val="007F75F0"/>
    <w:rsid w:val="007F7A75"/>
    <w:rsid w:val="00800681"/>
    <w:rsid w:val="008023FD"/>
    <w:rsid w:val="00802EB1"/>
    <w:rsid w:val="008030D5"/>
    <w:rsid w:val="00803302"/>
    <w:rsid w:val="00803F3F"/>
    <w:rsid w:val="008041CD"/>
    <w:rsid w:val="0080472C"/>
    <w:rsid w:val="00804B9D"/>
    <w:rsid w:val="00804D7F"/>
    <w:rsid w:val="008058AC"/>
    <w:rsid w:val="00806BB5"/>
    <w:rsid w:val="00807048"/>
    <w:rsid w:val="008072BA"/>
    <w:rsid w:val="00807444"/>
    <w:rsid w:val="008076B6"/>
    <w:rsid w:val="008078E4"/>
    <w:rsid w:val="00807A6F"/>
    <w:rsid w:val="00810871"/>
    <w:rsid w:val="0081117D"/>
    <w:rsid w:val="0081174B"/>
    <w:rsid w:val="00812A6A"/>
    <w:rsid w:val="00813C14"/>
    <w:rsid w:val="00813E09"/>
    <w:rsid w:val="0081557E"/>
    <w:rsid w:val="00815FCA"/>
    <w:rsid w:val="00816D04"/>
    <w:rsid w:val="00816FB2"/>
    <w:rsid w:val="00820834"/>
    <w:rsid w:val="008225FA"/>
    <w:rsid w:val="00823733"/>
    <w:rsid w:val="00823FDD"/>
    <w:rsid w:val="00824351"/>
    <w:rsid w:val="008257D6"/>
    <w:rsid w:val="00825CA6"/>
    <w:rsid w:val="00826127"/>
    <w:rsid w:val="00826A96"/>
    <w:rsid w:val="00827A79"/>
    <w:rsid w:val="00830255"/>
    <w:rsid w:val="0083172E"/>
    <w:rsid w:val="00831FF6"/>
    <w:rsid w:val="008327FC"/>
    <w:rsid w:val="00833044"/>
    <w:rsid w:val="008338E2"/>
    <w:rsid w:val="00834A1E"/>
    <w:rsid w:val="00834A5E"/>
    <w:rsid w:val="0083525C"/>
    <w:rsid w:val="00837B1C"/>
    <w:rsid w:val="00837D95"/>
    <w:rsid w:val="008402C1"/>
    <w:rsid w:val="008404EA"/>
    <w:rsid w:val="00840C15"/>
    <w:rsid w:val="0084266A"/>
    <w:rsid w:val="008428DD"/>
    <w:rsid w:val="0084356D"/>
    <w:rsid w:val="00844527"/>
    <w:rsid w:val="00844588"/>
    <w:rsid w:val="0084459D"/>
    <w:rsid w:val="00844692"/>
    <w:rsid w:val="0084506F"/>
    <w:rsid w:val="00845777"/>
    <w:rsid w:val="00850936"/>
    <w:rsid w:val="00850B0B"/>
    <w:rsid w:val="00851305"/>
    <w:rsid w:val="008519A4"/>
    <w:rsid w:val="00852796"/>
    <w:rsid w:val="00852986"/>
    <w:rsid w:val="008532CC"/>
    <w:rsid w:val="00856998"/>
    <w:rsid w:val="00857887"/>
    <w:rsid w:val="00857900"/>
    <w:rsid w:val="008601EF"/>
    <w:rsid w:val="00861830"/>
    <w:rsid w:val="00861BB6"/>
    <w:rsid w:val="008622B8"/>
    <w:rsid w:val="00862543"/>
    <w:rsid w:val="008625C6"/>
    <w:rsid w:val="0086287F"/>
    <w:rsid w:val="00863407"/>
    <w:rsid w:val="00863CF6"/>
    <w:rsid w:val="00865A7A"/>
    <w:rsid w:val="008702C4"/>
    <w:rsid w:val="008704AB"/>
    <w:rsid w:val="00871133"/>
    <w:rsid w:val="00871424"/>
    <w:rsid w:val="00872521"/>
    <w:rsid w:val="00872B7A"/>
    <w:rsid w:val="00872DF3"/>
    <w:rsid w:val="00873A9C"/>
    <w:rsid w:val="0087483E"/>
    <w:rsid w:val="00874A4F"/>
    <w:rsid w:val="00874BF5"/>
    <w:rsid w:val="00875397"/>
    <w:rsid w:val="008771DB"/>
    <w:rsid w:val="00877CC2"/>
    <w:rsid w:val="008810F0"/>
    <w:rsid w:val="00881B12"/>
    <w:rsid w:val="00881D02"/>
    <w:rsid w:val="00881D1B"/>
    <w:rsid w:val="00881E73"/>
    <w:rsid w:val="00883128"/>
    <w:rsid w:val="00883839"/>
    <w:rsid w:val="0088411D"/>
    <w:rsid w:val="008846D3"/>
    <w:rsid w:val="00884B93"/>
    <w:rsid w:val="008850A1"/>
    <w:rsid w:val="00885D82"/>
    <w:rsid w:val="00887147"/>
    <w:rsid w:val="008905D6"/>
    <w:rsid w:val="00892278"/>
    <w:rsid w:val="00892285"/>
    <w:rsid w:val="00892377"/>
    <w:rsid w:val="00892578"/>
    <w:rsid w:val="00893F03"/>
    <w:rsid w:val="008954F5"/>
    <w:rsid w:val="0089563C"/>
    <w:rsid w:val="00895A69"/>
    <w:rsid w:val="00895FA7"/>
    <w:rsid w:val="00897647"/>
    <w:rsid w:val="0089792D"/>
    <w:rsid w:val="008A0BDC"/>
    <w:rsid w:val="008A1ACB"/>
    <w:rsid w:val="008A3F5C"/>
    <w:rsid w:val="008A51CA"/>
    <w:rsid w:val="008A5423"/>
    <w:rsid w:val="008A565C"/>
    <w:rsid w:val="008A5D23"/>
    <w:rsid w:val="008A5F49"/>
    <w:rsid w:val="008A6F22"/>
    <w:rsid w:val="008B0096"/>
    <w:rsid w:val="008B0ECA"/>
    <w:rsid w:val="008B23F6"/>
    <w:rsid w:val="008B3B25"/>
    <w:rsid w:val="008B3B39"/>
    <w:rsid w:val="008B3C50"/>
    <w:rsid w:val="008B4792"/>
    <w:rsid w:val="008B4C2F"/>
    <w:rsid w:val="008B561C"/>
    <w:rsid w:val="008B5A20"/>
    <w:rsid w:val="008B5BF1"/>
    <w:rsid w:val="008B5CA4"/>
    <w:rsid w:val="008B606F"/>
    <w:rsid w:val="008C03A8"/>
    <w:rsid w:val="008C05BC"/>
    <w:rsid w:val="008C1720"/>
    <w:rsid w:val="008C2320"/>
    <w:rsid w:val="008C36B0"/>
    <w:rsid w:val="008C46E2"/>
    <w:rsid w:val="008C4764"/>
    <w:rsid w:val="008C52B2"/>
    <w:rsid w:val="008C7B80"/>
    <w:rsid w:val="008D0FC5"/>
    <w:rsid w:val="008D1BD8"/>
    <w:rsid w:val="008D1C17"/>
    <w:rsid w:val="008D1D72"/>
    <w:rsid w:val="008D3FFE"/>
    <w:rsid w:val="008D5834"/>
    <w:rsid w:val="008D5B7C"/>
    <w:rsid w:val="008D6858"/>
    <w:rsid w:val="008D7E63"/>
    <w:rsid w:val="008E03FA"/>
    <w:rsid w:val="008E077B"/>
    <w:rsid w:val="008E0EBD"/>
    <w:rsid w:val="008E1383"/>
    <w:rsid w:val="008E1B52"/>
    <w:rsid w:val="008E248A"/>
    <w:rsid w:val="008E2B82"/>
    <w:rsid w:val="008E41A3"/>
    <w:rsid w:val="008E4567"/>
    <w:rsid w:val="008E4C5B"/>
    <w:rsid w:val="008E4FAF"/>
    <w:rsid w:val="008E505F"/>
    <w:rsid w:val="008E5103"/>
    <w:rsid w:val="008E54E3"/>
    <w:rsid w:val="008E5F59"/>
    <w:rsid w:val="008E6958"/>
    <w:rsid w:val="008E7363"/>
    <w:rsid w:val="008E7487"/>
    <w:rsid w:val="008E7EB4"/>
    <w:rsid w:val="008F0115"/>
    <w:rsid w:val="008F018F"/>
    <w:rsid w:val="008F0872"/>
    <w:rsid w:val="008F2701"/>
    <w:rsid w:val="008F2D29"/>
    <w:rsid w:val="008F4755"/>
    <w:rsid w:val="008F5655"/>
    <w:rsid w:val="008F5B0F"/>
    <w:rsid w:val="008F600A"/>
    <w:rsid w:val="008F67FC"/>
    <w:rsid w:val="00900B1E"/>
    <w:rsid w:val="00900D65"/>
    <w:rsid w:val="00901A6F"/>
    <w:rsid w:val="00902242"/>
    <w:rsid w:val="009023BA"/>
    <w:rsid w:val="00902FD5"/>
    <w:rsid w:val="009041FC"/>
    <w:rsid w:val="00904917"/>
    <w:rsid w:val="00904965"/>
    <w:rsid w:val="009051C5"/>
    <w:rsid w:val="0090523A"/>
    <w:rsid w:val="00905BA5"/>
    <w:rsid w:val="00905C9A"/>
    <w:rsid w:val="009063D3"/>
    <w:rsid w:val="00906C98"/>
    <w:rsid w:val="00910505"/>
    <w:rsid w:val="00911581"/>
    <w:rsid w:val="009120F6"/>
    <w:rsid w:val="0091317B"/>
    <w:rsid w:val="009132EA"/>
    <w:rsid w:val="0091452B"/>
    <w:rsid w:val="009154F9"/>
    <w:rsid w:val="00916103"/>
    <w:rsid w:val="00916172"/>
    <w:rsid w:val="00916283"/>
    <w:rsid w:val="00916DC9"/>
    <w:rsid w:val="00917F00"/>
    <w:rsid w:val="0092019F"/>
    <w:rsid w:val="009209B4"/>
    <w:rsid w:val="009215A4"/>
    <w:rsid w:val="00921EED"/>
    <w:rsid w:val="009227F1"/>
    <w:rsid w:val="00922992"/>
    <w:rsid w:val="00922F2E"/>
    <w:rsid w:val="00923E62"/>
    <w:rsid w:val="00927A50"/>
    <w:rsid w:val="00930323"/>
    <w:rsid w:val="00930394"/>
    <w:rsid w:val="00931B5C"/>
    <w:rsid w:val="0093263D"/>
    <w:rsid w:val="009335C2"/>
    <w:rsid w:val="00933A1D"/>
    <w:rsid w:val="00934A61"/>
    <w:rsid w:val="00934D43"/>
    <w:rsid w:val="009350B1"/>
    <w:rsid w:val="009353D0"/>
    <w:rsid w:val="0093594B"/>
    <w:rsid w:val="00940C2A"/>
    <w:rsid w:val="00941438"/>
    <w:rsid w:val="00942B0A"/>
    <w:rsid w:val="00942C51"/>
    <w:rsid w:val="00943AB1"/>
    <w:rsid w:val="00944273"/>
    <w:rsid w:val="00944826"/>
    <w:rsid w:val="00944D20"/>
    <w:rsid w:val="00944E58"/>
    <w:rsid w:val="00945E87"/>
    <w:rsid w:val="0094662E"/>
    <w:rsid w:val="009471ED"/>
    <w:rsid w:val="00947A3A"/>
    <w:rsid w:val="00947CC2"/>
    <w:rsid w:val="00950B10"/>
    <w:rsid w:val="00951B59"/>
    <w:rsid w:val="009525BF"/>
    <w:rsid w:val="00952815"/>
    <w:rsid w:val="00952CD2"/>
    <w:rsid w:val="00953D5C"/>
    <w:rsid w:val="009540EE"/>
    <w:rsid w:val="0095754B"/>
    <w:rsid w:val="00957B28"/>
    <w:rsid w:val="00957E86"/>
    <w:rsid w:val="009607C2"/>
    <w:rsid w:val="00961BF6"/>
    <w:rsid w:val="0096291E"/>
    <w:rsid w:val="00963297"/>
    <w:rsid w:val="00964E32"/>
    <w:rsid w:val="00965740"/>
    <w:rsid w:val="00966049"/>
    <w:rsid w:val="009663DA"/>
    <w:rsid w:val="0096786F"/>
    <w:rsid w:val="009709D0"/>
    <w:rsid w:val="00970AE5"/>
    <w:rsid w:val="00970B8F"/>
    <w:rsid w:val="00970E38"/>
    <w:rsid w:val="00972BA8"/>
    <w:rsid w:val="00972F1A"/>
    <w:rsid w:val="009730EC"/>
    <w:rsid w:val="0097342C"/>
    <w:rsid w:val="0097402F"/>
    <w:rsid w:val="0097429D"/>
    <w:rsid w:val="00974B67"/>
    <w:rsid w:val="00975EE8"/>
    <w:rsid w:val="00975FE2"/>
    <w:rsid w:val="00976609"/>
    <w:rsid w:val="0097746D"/>
    <w:rsid w:val="00977674"/>
    <w:rsid w:val="009777D8"/>
    <w:rsid w:val="00980B49"/>
    <w:rsid w:val="00981E2A"/>
    <w:rsid w:val="00981EB4"/>
    <w:rsid w:val="0098207D"/>
    <w:rsid w:val="00982A98"/>
    <w:rsid w:val="00982B1E"/>
    <w:rsid w:val="0098338D"/>
    <w:rsid w:val="0098383F"/>
    <w:rsid w:val="009839CC"/>
    <w:rsid w:val="00983F77"/>
    <w:rsid w:val="00984CFD"/>
    <w:rsid w:val="00986163"/>
    <w:rsid w:val="00986676"/>
    <w:rsid w:val="00987469"/>
    <w:rsid w:val="00987EBB"/>
    <w:rsid w:val="00990190"/>
    <w:rsid w:val="00990284"/>
    <w:rsid w:val="00990327"/>
    <w:rsid w:val="009912DE"/>
    <w:rsid w:val="00994231"/>
    <w:rsid w:val="00994271"/>
    <w:rsid w:val="00994474"/>
    <w:rsid w:val="009945C6"/>
    <w:rsid w:val="00994FA8"/>
    <w:rsid w:val="009950B1"/>
    <w:rsid w:val="00995A0F"/>
    <w:rsid w:val="00995E99"/>
    <w:rsid w:val="009963B1"/>
    <w:rsid w:val="00996E16"/>
    <w:rsid w:val="009975AA"/>
    <w:rsid w:val="009A17EA"/>
    <w:rsid w:val="009A18E9"/>
    <w:rsid w:val="009A2091"/>
    <w:rsid w:val="009A24DF"/>
    <w:rsid w:val="009A32D5"/>
    <w:rsid w:val="009A3425"/>
    <w:rsid w:val="009A373F"/>
    <w:rsid w:val="009A5527"/>
    <w:rsid w:val="009A7466"/>
    <w:rsid w:val="009A7635"/>
    <w:rsid w:val="009A7B90"/>
    <w:rsid w:val="009A7EB9"/>
    <w:rsid w:val="009B01E9"/>
    <w:rsid w:val="009B0FAC"/>
    <w:rsid w:val="009B1C94"/>
    <w:rsid w:val="009B3389"/>
    <w:rsid w:val="009B36B1"/>
    <w:rsid w:val="009B5534"/>
    <w:rsid w:val="009B5753"/>
    <w:rsid w:val="009B66C4"/>
    <w:rsid w:val="009B67DA"/>
    <w:rsid w:val="009B7D66"/>
    <w:rsid w:val="009C03F1"/>
    <w:rsid w:val="009C1BC4"/>
    <w:rsid w:val="009C283B"/>
    <w:rsid w:val="009C2D35"/>
    <w:rsid w:val="009C375B"/>
    <w:rsid w:val="009C4C2B"/>
    <w:rsid w:val="009C6E6B"/>
    <w:rsid w:val="009C7429"/>
    <w:rsid w:val="009D0425"/>
    <w:rsid w:val="009D0BD7"/>
    <w:rsid w:val="009D13A8"/>
    <w:rsid w:val="009D1522"/>
    <w:rsid w:val="009D1ABF"/>
    <w:rsid w:val="009D32AE"/>
    <w:rsid w:val="009D38ED"/>
    <w:rsid w:val="009D3A1B"/>
    <w:rsid w:val="009D6307"/>
    <w:rsid w:val="009D6388"/>
    <w:rsid w:val="009E08B0"/>
    <w:rsid w:val="009E0D6D"/>
    <w:rsid w:val="009E2ABA"/>
    <w:rsid w:val="009E3277"/>
    <w:rsid w:val="009E32A6"/>
    <w:rsid w:val="009E3852"/>
    <w:rsid w:val="009E3D16"/>
    <w:rsid w:val="009E3E61"/>
    <w:rsid w:val="009E52FF"/>
    <w:rsid w:val="009E5581"/>
    <w:rsid w:val="009E6183"/>
    <w:rsid w:val="009E6279"/>
    <w:rsid w:val="009E6916"/>
    <w:rsid w:val="009E732B"/>
    <w:rsid w:val="009F0D0E"/>
    <w:rsid w:val="009F0D8D"/>
    <w:rsid w:val="009F0DDE"/>
    <w:rsid w:val="009F10D0"/>
    <w:rsid w:val="009F191F"/>
    <w:rsid w:val="009F21AA"/>
    <w:rsid w:val="009F3845"/>
    <w:rsid w:val="009F3B7C"/>
    <w:rsid w:val="009F4AD5"/>
    <w:rsid w:val="009F6896"/>
    <w:rsid w:val="009F69EC"/>
    <w:rsid w:val="009F721D"/>
    <w:rsid w:val="009F7E87"/>
    <w:rsid w:val="00A00777"/>
    <w:rsid w:val="00A00BD4"/>
    <w:rsid w:val="00A04555"/>
    <w:rsid w:val="00A045EC"/>
    <w:rsid w:val="00A0471B"/>
    <w:rsid w:val="00A0472B"/>
    <w:rsid w:val="00A04D4A"/>
    <w:rsid w:val="00A04E5B"/>
    <w:rsid w:val="00A11D96"/>
    <w:rsid w:val="00A11E2F"/>
    <w:rsid w:val="00A129C5"/>
    <w:rsid w:val="00A130D1"/>
    <w:rsid w:val="00A13451"/>
    <w:rsid w:val="00A14106"/>
    <w:rsid w:val="00A149A2"/>
    <w:rsid w:val="00A155AA"/>
    <w:rsid w:val="00A15635"/>
    <w:rsid w:val="00A15DE5"/>
    <w:rsid w:val="00A15E5D"/>
    <w:rsid w:val="00A1623B"/>
    <w:rsid w:val="00A17B68"/>
    <w:rsid w:val="00A206C8"/>
    <w:rsid w:val="00A21AC9"/>
    <w:rsid w:val="00A21B31"/>
    <w:rsid w:val="00A2268D"/>
    <w:rsid w:val="00A2303B"/>
    <w:rsid w:val="00A233D7"/>
    <w:rsid w:val="00A24A3B"/>
    <w:rsid w:val="00A24B1C"/>
    <w:rsid w:val="00A24DDA"/>
    <w:rsid w:val="00A25340"/>
    <w:rsid w:val="00A25AAC"/>
    <w:rsid w:val="00A25F20"/>
    <w:rsid w:val="00A26487"/>
    <w:rsid w:val="00A27A21"/>
    <w:rsid w:val="00A27E68"/>
    <w:rsid w:val="00A3119C"/>
    <w:rsid w:val="00A31571"/>
    <w:rsid w:val="00A31BE9"/>
    <w:rsid w:val="00A32132"/>
    <w:rsid w:val="00A3227F"/>
    <w:rsid w:val="00A32B1E"/>
    <w:rsid w:val="00A331FB"/>
    <w:rsid w:val="00A332A8"/>
    <w:rsid w:val="00A335F7"/>
    <w:rsid w:val="00A338A3"/>
    <w:rsid w:val="00A33C86"/>
    <w:rsid w:val="00A3539A"/>
    <w:rsid w:val="00A36B21"/>
    <w:rsid w:val="00A37124"/>
    <w:rsid w:val="00A40004"/>
    <w:rsid w:val="00A408A3"/>
    <w:rsid w:val="00A413B9"/>
    <w:rsid w:val="00A4187B"/>
    <w:rsid w:val="00A418EF"/>
    <w:rsid w:val="00A42FEE"/>
    <w:rsid w:val="00A4555C"/>
    <w:rsid w:val="00A45E1D"/>
    <w:rsid w:val="00A45F76"/>
    <w:rsid w:val="00A46B12"/>
    <w:rsid w:val="00A47A52"/>
    <w:rsid w:val="00A5167E"/>
    <w:rsid w:val="00A54670"/>
    <w:rsid w:val="00A556B6"/>
    <w:rsid w:val="00A56389"/>
    <w:rsid w:val="00A56663"/>
    <w:rsid w:val="00A569BA"/>
    <w:rsid w:val="00A569EC"/>
    <w:rsid w:val="00A5770C"/>
    <w:rsid w:val="00A578C0"/>
    <w:rsid w:val="00A57CCA"/>
    <w:rsid w:val="00A57DB0"/>
    <w:rsid w:val="00A60730"/>
    <w:rsid w:val="00A60C10"/>
    <w:rsid w:val="00A612AC"/>
    <w:rsid w:val="00A61A8B"/>
    <w:rsid w:val="00A61B52"/>
    <w:rsid w:val="00A6247E"/>
    <w:rsid w:val="00A62621"/>
    <w:rsid w:val="00A62B4C"/>
    <w:rsid w:val="00A62B6D"/>
    <w:rsid w:val="00A62DB0"/>
    <w:rsid w:val="00A646C5"/>
    <w:rsid w:val="00A6577C"/>
    <w:rsid w:val="00A65B14"/>
    <w:rsid w:val="00A66529"/>
    <w:rsid w:val="00A66D87"/>
    <w:rsid w:val="00A66FDE"/>
    <w:rsid w:val="00A71C52"/>
    <w:rsid w:val="00A72476"/>
    <w:rsid w:val="00A728E5"/>
    <w:rsid w:val="00A7392F"/>
    <w:rsid w:val="00A74B81"/>
    <w:rsid w:val="00A755CA"/>
    <w:rsid w:val="00A75AE5"/>
    <w:rsid w:val="00A764BD"/>
    <w:rsid w:val="00A76661"/>
    <w:rsid w:val="00A76923"/>
    <w:rsid w:val="00A77249"/>
    <w:rsid w:val="00A77340"/>
    <w:rsid w:val="00A77783"/>
    <w:rsid w:val="00A77EB6"/>
    <w:rsid w:val="00A82036"/>
    <w:rsid w:val="00A837D0"/>
    <w:rsid w:val="00A83B64"/>
    <w:rsid w:val="00A8436B"/>
    <w:rsid w:val="00A84F01"/>
    <w:rsid w:val="00A858D3"/>
    <w:rsid w:val="00A86883"/>
    <w:rsid w:val="00A87259"/>
    <w:rsid w:val="00A87341"/>
    <w:rsid w:val="00A90503"/>
    <w:rsid w:val="00A90C71"/>
    <w:rsid w:val="00A90C75"/>
    <w:rsid w:val="00A91E7E"/>
    <w:rsid w:val="00A92433"/>
    <w:rsid w:val="00A93061"/>
    <w:rsid w:val="00A93A20"/>
    <w:rsid w:val="00A9401A"/>
    <w:rsid w:val="00A944F0"/>
    <w:rsid w:val="00A95457"/>
    <w:rsid w:val="00A95EB8"/>
    <w:rsid w:val="00A97938"/>
    <w:rsid w:val="00A97CA2"/>
    <w:rsid w:val="00A97CAE"/>
    <w:rsid w:val="00AA04DA"/>
    <w:rsid w:val="00AA08BD"/>
    <w:rsid w:val="00AA0D16"/>
    <w:rsid w:val="00AA0E69"/>
    <w:rsid w:val="00AA1B13"/>
    <w:rsid w:val="00AA1F96"/>
    <w:rsid w:val="00AA2506"/>
    <w:rsid w:val="00AA2ABF"/>
    <w:rsid w:val="00AA2B03"/>
    <w:rsid w:val="00AA2CFE"/>
    <w:rsid w:val="00AA324B"/>
    <w:rsid w:val="00AA39BE"/>
    <w:rsid w:val="00AA3B48"/>
    <w:rsid w:val="00AA3F91"/>
    <w:rsid w:val="00AA41E2"/>
    <w:rsid w:val="00AA5832"/>
    <w:rsid w:val="00AA66B2"/>
    <w:rsid w:val="00AA7BE5"/>
    <w:rsid w:val="00AB0051"/>
    <w:rsid w:val="00AB052C"/>
    <w:rsid w:val="00AB0A25"/>
    <w:rsid w:val="00AB0B77"/>
    <w:rsid w:val="00AB1087"/>
    <w:rsid w:val="00AB13A8"/>
    <w:rsid w:val="00AB18EF"/>
    <w:rsid w:val="00AB1EB0"/>
    <w:rsid w:val="00AB228F"/>
    <w:rsid w:val="00AB24E3"/>
    <w:rsid w:val="00AB2B51"/>
    <w:rsid w:val="00AB4852"/>
    <w:rsid w:val="00AB50C1"/>
    <w:rsid w:val="00AB5DB2"/>
    <w:rsid w:val="00AB60A2"/>
    <w:rsid w:val="00AB6925"/>
    <w:rsid w:val="00AB6FDF"/>
    <w:rsid w:val="00AC0C7E"/>
    <w:rsid w:val="00AC1C06"/>
    <w:rsid w:val="00AC2958"/>
    <w:rsid w:val="00AC2C88"/>
    <w:rsid w:val="00AC311A"/>
    <w:rsid w:val="00AC364C"/>
    <w:rsid w:val="00AC36B0"/>
    <w:rsid w:val="00AC41EA"/>
    <w:rsid w:val="00AC45B9"/>
    <w:rsid w:val="00AC4C19"/>
    <w:rsid w:val="00AC4C6B"/>
    <w:rsid w:val="00AC5210"/>
    <w:rsid w:val="00AC64F4"/>
    <w:rsid w:val="00AC7541"/>
    <w:rsid w:val="00AD01C6"/>
    <w:rsid w:val="00AD0E92"/>
    <w:rsid w:val="00AD1591"/>
    <w:rsid w:val="00AD216C"/>
    <w:rsid w:val="00AD3869"/>
    <w:rsid w:val="00AD4BCA"/>
    <w:rsid w:val="00AD4C7C"/>
    <w:rsid w:val="00AD4DDF"/>
    <w:rsid w:val="00AD57DA"/>
    <w:rsid w:val="00AD5DE2"/>
    <w:rsid w:val="00AE05B3"/>
    <w:rsid w:val="00AE063B"/>
    <w:rsid w:val="00AE11DE"/>
    <w:rsid w:val="00AE15AC"/>
    <w:rsid w:val="00AE15BB"/>
    <w:rsid w:val="00AE1645"/>
    <w:rsid w:val="00AE272A"/>
    <w:rsid w:val="00AE2B87"/>
    <w:rsid w:val="00AE36CA"/>
    <w:rsid w:val="00AE3BCB"/>
    <w:rsid w:val="00AE3C69"/>
    <w:rsid w:val="00AE6190"/>
    <w:rsid w:val="00AE62AD"/>
    <w:rsid w:val="00AE62F7"/>
    <w:rsid w:val="00AE6C85"/>
    <w:rsid w:val="00AE6F06"/>
    <w:rsid w:val="00AE6F6B"/>
    <w:rsid w:val="00AF0083"/>
    <w:rsid w:val="00AF12E1"/>
    <w:rsid w:val="00AF1343"/>
    <w:rsid w:val="00AF1C4E"/>
    <w:rsid w:val="00AF30D1"/>
    <w:rsid w:val="00AF314F"/>
    <w:rsid w:val="00AF47E7"/>
    <w:rsid w:val="00AF4E27"/>
    <w:rsid w:val="00AF5814"/>
    <w:rsid w:val="00AF70BC"/>
    <w:rsid w:val="00AF722E"/>
    <w:rsid w:val="00B0026C"/>
    <w:rsid w:val="00B012F3"/>
    <w:rsid w:val="00B03650"/>
    <w:rsid w:val="00B05BD1"/>
    <w:rsid w:val="00B06196"/>
    <w:rsid w:val="00B06828"/>
    <w:rsid w:val="00B07F7A"/>
    <w:rsid w:val="00B11A59"/>
    <w:rsid w:val="00B133CE"/>
    <w:rsid w:val="00B134AA"/>
    <w:rsid w:val="00B140C1"/>
    <w:rsid w:val="00B14151"/>
    <w:rsid w:val="00B14802"/>
    <w:rsid w:val="00B161DB"/>
    <w:rsid w:val="00B17025"/>
    <w:rsid w:val="00B17698"/>
    <w:rsid w:val="00B17D6C"/>
    <w:rsid w:val="00B202F5"/>
    <w:rsid w:val="00B20435"/>
    <w:rsid w:val="00B20DDD"/>
    <w:rsid w:val="00B22525"/>
    <w:rsid w:val="00B2432C"/>
    <w:rsid w:val="00B26F4F"/>
    <w:rsid w:val="00B27DBA"/>
    <w:rsid w:val="00B27EC8"/>
    <w:rsid w:val="00B27EEF"/>
    <w:rsid w:val="00B30353"/>
    <w:rsid w:val="00B307F1"/>
    <w:rsid w:val="00B32450"/>
    <w:rsid w:val="00B33114"/>
    <w:rsid w:val="00B335D2"/>
    <w:rsid w:val="00B338B5"/>
    <w:rsid w:val="00B34332"/>
    <w:rsid w:val="00B34669"/>
    <w:rsid w:val="00B34C36"/>
    <w:rsid w:val="00B362F2"/>
    <w:rsid w:val="00B36442"/>
    <w:rsid w:val="00B36633"/>
    <w:rsid w:val="00B36A0E"/>
    <w:rsid w:val="00B36B58"/>
    <w:rsid w:val="00B36C6E"/>
    <w:rsid w:val="00B4047D"/>
    <w:rsid w:val="00B40BD6"/>
    <w:rsid w:val="00B41318"/>
    <w:rsid w:val="00B415A9"/>
    <w:rsid w:val="00B41E41"/>
    <w:rsid w:val="00B41FAB"/>
    <w:rsid w:val="00B42379"/>
    <w:rsid w:val="00B425EF"/>
    <w:rsid w:val="00B42BFB"/>
    <w:rsid w:val="00B42C55"/>
    <w:rsid w:val="00B440DB"/>
    <w:rsid w:val="00B450A7"/>
    <w:rsid w:val="00B464CA"/>
    <w:rsid w:val="00B465D5"/>
    <w:rsid w:val="00B469FD"/>
    <w:rsid w:val="00B476EB"/>
    <w:rsid w:val="00B47833"/>
    <w:rsid w:val="00B505DC"/>
    <w:rsid w:val="00B506AD"/>
    <w:rsid w:val="00B5089E"/>
    <w:rsid w:val="00B508A4"/>
    <w:rsid w:val="00B52768"/>
    <w:rsid w:val="00B5292B"/>
    <w:rsid w:val="00B52CDB"/>
    <w:rsid w:val="00B533EC"/>
    <w:rsid w:val="00B5380E"/>
    <w:rsid w:val="00B553BA"/>
    <w:rsid w:val="00B55448"/>
    <w:rsid w:val="00B55802"/>
    <w:rsid w:val="00B55D3C"/>
    <w:rsid w:val="00B55E23"/>
    <w:rsid w:val="00B571A9"/>
    <w:rsid w:val="00B5724E"/>
    <w:rsid w:val="00B60F69"/>
    <w:rsid w:val="00B615D2"/>
    <w:rsid w:val="00B618EC"/>
    <w:rsid w:val="00B61D8E"/>
    <w:rsid w:val="00B6265F"/>
    <w:rsid w:val="00B64728"/>
    <w:rsid w:val="00B6600F"/>
    <w:rsid w:val="00B66A94"/>
    <w:rsid w:val="00B67CC1"/>
    <w:rsid w:val="00B67CF8"/>
    <w:rsid w:val="00B67DEA"/>
    <w:rsid w:val="00B704D5"/>
    <w:rsid w:val="00B70CE6"/>
    <w:rsid w:val="00B718ED"/>
    <w:rsid w:val="00B7300E"/>
    <w:rsid w:val="00B7347E"/>
    <w:rsid w:val="00B73A4F"/>
    <w:rsid w:val="00B74B21"/>
    <w:rsid w:val="00B75654"/>
    <w:rsid w:val="00B76E05"/>
    <w:rsid w:val="00B774FD"/>
    <w:rsid w:val="00B77C06"/>
    <w:rsid w:val="00B8084F"/>
    <w:rsid w:val="00B80DDC"/>
    <w:rsid w:val="00B82263"/>
    <w:rsid w:val="00B82453"/>
    <w:rsid w:val="00B82513"/>
    <w:rsid w:val="00B83864"/>
    <w:rsid w:val="00B83B24"/>
    <w:rsid w:val="00B83BA9"/>
    <w:rsid w:val="00B83BAC"/>
    <w:rsid w:val="00B85031"/>
    <w:rsid w:val="00B850DE"/>
    <w:rsid w:val="00B855B1"/>
    <w:rsid w:val="00B85A17"/>
    <w:rsid w:val="00B86A86"/>
    <w:rsid w:val="00B87AB2"/>
    <w:rsid w:val="00B87E84"/>
    <w:rsid w:val="00B90151"/>
    <w:rsid w:val="00B905DB"/>
    <w:rsid w:val="00B90840"/>
    <w:rsid w:val="00B913D7"/>
    <w:rsid w:val="00B9142A"/>
    <w:rsid w:val="00B925D5"/>
    <w:rsid w:val="00B926AD"/>
    <w:rsid w:val="00B92920"/>
    <w:rsid w:val="00B929D3"/>
    <w:rsid w:val="00B92DE6"/>
    <w:rsid w:val="00B94593"/>
    <w:rsid w:val="00B9474C"/>
    <w:rsid w:val="00B956FF"/>
    <w:rsid w:val="00B957C3"/>
    <w:rsid w:val="00B95C2D"/>
    <w:rsid w:val="00B96A1C"/>
    <w:rsid w:val="00B97E89"/>
    <w:rsid w:val="00B97EA5"/>
    <w:rsid w:val="00BA061E"/>
    <w:rsid w:val="00BA0B0F"/>
    <w:rsid w:val="00BA1570"/>
    <w:rsid w:val="00BA2D4D"/>
    <w:rsid w:val="00BA544D"/>
    <w:rsid w:val="00BA71FA"/>
    <w:rsid w:val="00BA720C"/>
    <w:rsid w:val="00BA75C4"/>
    <w:rsid w:val="00BA7A7A"/>
    <w:rsid w:val="00BA7E4C"/>
    <w:rsid w:val="00BB0519"/>
    <w:rsid w:val="00BB0989"/>
    <w:rsid w:val="00BB0BE3"/>
    <w:rsid w:val="00BB1852"/>
    <w:rsid w:val="00BB1AAE"/>
    <w:rsid w:val="00BB2196"/>
    <w:rsid w:val="00BB3194"/>
    <w:rsid w:val="00BB3831"/>
    <w:rsid w:val="00BB39C3"/>
    <w:rsid w:val="00BB3C79"/>
    <w:rsid w:val="00BB457D"/>
    <w:rsid w:val="00BB5A3C"/>
    <w:rsid w:val="00BB5BC7"/>
    <w:rsid w:val="00BB60C7"/>
    <w:rsid w:val="00BB62D8"/>
    <w:rsid w:val="00BB69DA"/>
    <w:rsid w:val="00BB6EA4"/>
    <w:rsid w:val="00BB70F4"/>
    <w:rsid w:val="00BC0281"/>
    <w:rsid w:val="00BC1549"/>
    <w:rsid w:val="00BC2A8C"/>
    <w:rsid w:val="00BC30AC"/>
    <w:rsid w:val="00BC31DD"/>
    <w:rsid w:val="00BC3C96"/>
    <w:rsid w:val="00BC4A6D"/>
    <w:rsid w:val="00BC56FC"/>
    <w:rsid w:val="00BC5700"/>
    <w:rsid w:val="00BC6086"/>
    <w:rsid w:val="00BC7CB1"/>
    <w:rsid w:val="00BD13F5"/>
    <w:rsid w:val="00BD1B3A"/>
    <w:rsid w:val="00BD1F9F"/>
    <w:rsid w:val="00BD225B"/>
    <w:rsid w:val="00BD27DC"/>
    <w:rsid w:val="00BD3ECD"/>
    <w:rsid w:val="00BD45F5"/>
    <w:rsid w:val="00BD4F9D"/>
    <w:rsid w:val="00BD4FA8"/>
    <w:rsid w:val="00BD5A03"/>
    <w:rsid w:val="00BD7510"/>
    <w:rsid w:val="00BD76BD"/>
    <w:rsid w:val="00BE0303"/>
    <w:rsid w:val="00BE11FB"/>
    <w:rsid w:val="00BE1599"/>
    <w:rsid w:val="00BE1874"/>
    <w:rsid w:val="00BE18BA"/>
    <w:rsid w:val="00BE2316"/>
    <w:rsid w:val="00BE414A"/>
    <w:rsid w:val="00BE4FA0"/>
    <w:rsid w:val="00BE4FE8"/>
    <w:rsid w:val="00BE5990"/>
    <w:rsid w:val="00BE5C32"/>
    <w:rsid w:val="00BE608D"/>
    <w:rsid w:val="00BE64F0"/>
    <w:rsid w:val="00BE7A88"/>
    <w:rsid w:val="00BF038A"/>
    <w:rsid w:val="00BF0810"/>
    <w:rsid w:val="00BF0864"/>
    <w:rsid w:val="00BF10EB"/>
    <w:rsid w:val="00BF335A"/>
    <w:rsid w:val="00BF49EF"/>
    <w:rsid w:val="00BF5ACC"/>
    <w:rsid w:val="00BF5BE8"/>
    <w:rsid w:val="00BF6D30"/>
    <w:rsid w:val="00BF7A75"/>
    <w:rsid w:val="00C000FD"/>
    <w:rsid w:val="00C00196"/>
    <w:rsid w:val="00C0031F"/>
    <w:rsid w:val="00C01CC5"/>
    <w:rsid w:val="00C0221B"/>
    <w:rsid w:val="00C03712"/>
    <w:rsid w:val="00C03E6C"/>
    <w:rsid w:val="00C047B1"/>
    <w:rsid w:val="00C06529"/>
    <w:rsid w:val="00C06803"/>
    <w:rsid w:val="00C06D6C"/>
    <w:rsid w:val="00C102C3"/>
    <w:rsid w:val="00C10C20"/>
    <w:rsid w:val="00C10C4E"/>
    <w:rsid w:val="00C10FCD"/>
    <w:rsid w:val="00C1194E"/>
    <w:rsid w:val="00C11D47"/>
    <w:rsid w:val="00C1278D"/>
    <w:rsid w:val="00C1283B"/>
    <w:rsid w:val="00C1287D"/>
    <w:rsid w:val="00C135C9"/>
    <w:rsid w:val="00C1418D"/>
    <w:rsid w:val="00C15522"/>
    <w:rsid w:val="00C15884"/>
    <w:rsid w:val="00C163DD"/>
    <w:rsid w:val="00C16A5B"/>
    <w:rsid w:val="00C170AD"/>
    <w:rsid w:val="00C1732B"/>
    <w:rsid w:val="00C1744B"/>
    <w:rsid w:val="00C17577"/>
    <w:rsid w:val="00C20BF1"/>
    <w:rsid w:val="00C20EE1"/>
    <w:rsid w:val="00C213DD"/>
    <w:rsid w:val="00C225DA"/>
    <w:rsid w:val="00C2322F"/>
    <w:rsid w:val="00C237D3"/>
    <w:rsid w:val="00C24EE8"/>
    <w:rsid w:val="00C256C9"/>
    <w:rsid w:val="00C26975"/>
    <w:rsid w:val="00C26B70"/>
    <w:rsid w:val="00C2767C"/>
    <w:rsid w:val="00C2796F"/>
    <w:rsid w:val="00C27C5D"/>
    <w:rsid w:val="00C30373"/>
    <w:rsid w:val="00C307BD"/>
    <w:rsid w:val="00C30D84"/>
    <w:rsid w:val="00C3164B"/>
    <w:rsid w:val="00C31884"/>
    <w:rsid w:val="00C31DB8"/>
    <w:rsid w:val="00C3212D"/>
    <w:rsid w:val="00C3350C"/>
    <w:rsid w:val="00C335B5"/>
    <w:rsid w:val="00C33879"/>
    <w:rsid w:val="00C33DD3"/>
    <w:rsid w:val="00C33E26"/>
    <w:rsid w:val="00C33F08"/>
    <w:rsid w:val="00C3463F"/>
    <w:rsid w:val="00C34C0F"/>
    <w:rsid w:val="00C34CB3"/>
    <w:rsid w:val="00C34D71"/>
    <w:rsid w:val="00C3520F"/>
    <w:rsid w:val="00C35F7C"/>
    <w:rsid w:val="00C362F7"/>
    <w:rsid w:val="00C366A1"/>
    <w:rsid w:val="00C370D0"/>
    <w:rsid w:val="00C37459"/>
    <w:rsid w:val="00C37568"/>
    <w:rsid w:val="00C40845"/>
    <w:rsid w:val="00C40A34"/>
    <w:rsid w:val="00C40C35"/>
    <w:rsid w:val="00C421B7"/>
    <w:rsid w:val="00C43B0B"/>
    <w:rsid w:val="00C46445"/>
    <w:rsid w:val="00C46570"/>
    <w:rsid w:val="00C46A7F"/>
    <w:rsid w:val="00C47BD4"/>
    <w:rsid w:val="00C504E5"/>
    <w:rsid w:val="00C512EE"/>
    <w:rsid w:val="00C51664"/>
    <w:rsid w:val="00C52150"/>
    <w:rsid w:val="00C522DA"/>
    <w:rsid w:val="00C530DD"/>
    <w:rsid w:val="00C53FAF"/>
    <w:rsid w:val="00C563B7"/>
    <w:rsid w:val="00C5717C"/>
    <w:rsid w:val="00C57590"/>
    <w:rsid w:val="00C575B6"/>
    <w:rsid w:val="00C57B43"/>
    <w:rsid w:val="00C57DCB"/>
    <w:rsid w:val="00C57E71"/>
    <w:rsid w:val="00C601A1"/>
    <w:rsid w:val="00C6047D"/>
    <w:rsid w:val="00C608EF"/>
    <w:rsid w:val="00C60AAF"/>
    <w:rsid w:val="00C614AE"/>
    <w:rsid w:val="00C61B79"/>
    <w:rsid w:val="00C6206D"/>
    <w:rsid w:val="00C62C6B"/>
    <w:rsid w:val="00C64C6D"/>
    <w:rsid w:val="00C65178"/>
    <w:rsid w:val="00C65D96"/>
    <w:rsid w:val="00C65FF5"/>
    <w:rsid w:val="00C675BD"/>
    <w:rsid w:val="00C7047B"/>
    <w:rsid w:val="00C70A79"/>
    <w:rsid w:val="00C70E43"/>
    <w:rsid w:val="00C713CC"/>
    <w:rsid w:val="00C718FE"/>
    <w:rsid w:val="00C71FEE"/>
    <w:rsid w:val="00C7299C"/>
    <w:rsid w:val="00C73007"/>
    <w:rsid w:val="00C7329A"/>
    <w:rsid w:val="00C74CBF"/>
    <w:rsid w:val="00C74EC2"/>
    <w:rsid w:val="00C75309"/>
    <w:rsid w:val="00C75FA6"/>
    <w:rsid w:val="00C75FD7"/>
    <w:rsid w:val="00C760AA"/>
    <w:rsid w:val="00C76270"/>
    <w:rsid w:val="00C764F7"/>
    <w:rsid w:val="00C808F8"/>
    <w:rsid w:val="00C80CBD"/>
    <w:rsid w:val="00C81277"/>
    <w:rsid w:val="00C81616"/>
    <w:rsid w:val="00C81AA6"/>
    <w:rsid w:val="00C81F5D"/>
    <w:rsid w:val="00C8218B"/>
    <w:rsid w:val="00C82539"/>
    <w:rsid w:val="00C82D1B"/>
    <w:rsid w:val="00C82D48"/>
    <w:rsid w:val="00C834C6"/>
    <w:rsid w:val="00C842C6"/>
    <w:rsid w:val="00C87832"/>
    <w:rsid w:val="00C9020D"/>
    <w:rsid w:val="00C909A9"/>
    <w:rsid w:val="00C90C33"/>
    <w:rsid w:val="00C92D23"/>
    <w:rsid w:val="00C932E4"/>
    <w:rsid w:val="00C93D01"/>
    <w:rsid w:val="00C94550"/>
    <w:rsid w:val="00C95204"/>
    <w:rsid w:val="00C95C42"/>
    <w:rsid w:val="00C974C5"/>
    <w:rsid w:val="00C97F27"/>
    <w:rsid w:val="00CA14A7"/>
    <w:rsid w:val="00CA4211"/>
    <w:rsid w:val="00CA46B4"/>
    <w:rsid w:val="00CA46C9"/>
    <w:rsid w:val="00CA4988"/>
    <w:rsid w:val="00CA5920"/>
    <w:rsid w:val="00CA6A21"/>
    <w:rsid w:val="00CA6AFB"/>
    <w:rsid w:val="00CA79EE"/>
    <w:rsid w:val="00CB20C1"/>
    <w:rsid w:val="00CB3A19"/>
    <w:rsid w:val="00CB452E"/>
    <w:rsid w:val="00CB4BE3"/>
    <w:rsid w:val="00CB65C9"/>
    <w:rsid w:val="00CB676D"/>
    <w:rsid w:val="00CB68FD"/>
    <w:rsid w:val="00CC02D0"/>
    <w:rsid w:val="00CC0338"/>
    <w:rsid w:val="00CC0526"/>
    <w:rsid w:val="00CC2F0A"/>
    <w:rsid w:val="00CC3839"/>
    <w:rsid w:val="00CC4066"/>
    <w:rsid w:val="00CC4340"/>
    <w:rsid w:val="00CC4883"/>
    <w:rsid w:val="00CC48F4"/>
    <w:rsid w:val="00CC4FBD"/>
    <w:rsid w:val="00CC5D65"/>
    <w:rsid w:val="00CC6107"/>
    <w:rsid w:val="00CC6EE5"/>
    <w:rsid w:val="00CC7DFE"/>
    <w:rsid w:val="00CD081A"/>
    <w:rsid w:val="00CD1050"/>
    <w:rsid w:val="00CD3281"/>
    <w:rsid w:val="00CD351F"/>
    <w:rsid w:val="00CD3A60"/>
    <w:rsid w:val="00CD3C95"/>
    <w:rsid w:val="00CD4230"/>
    <w:rsid w:val="00CD4547"/>
    <w:rsid w:val="00CD5C16"/>
    <w:rsid w:val="00CD619A"/>
    <w:rsid w:val="00CD6723"/>
    <w:rsid w:val="00CD6F25"/>
    <w:rsid w:val="00CD6F91"/>
    <w:rsid w:val="00CE01D4"/>
    <w:rsid w:val="00CE0306"/>
    <w:rsid w:val="00CE05CF"/>
    <w:rsid w:val="00CE0B0E"/>
    <w:rsid w:val="00CE2DA4"/>
    <w:rsid w:val="00CE3CF8"/>
    <w:rsid w:val="00CE3DC9"/>
    <w:rsid w:val="00CE3F3B"/>
    <w:rsid w:val="00CE463E"/>
    <w:rsid w:val="00CE51A7"/>
    <w:rsid w:val="00CE59D5"/>
    <w:rsid w:val="00CE5E17"/>
    <w:rsid w:val="00CE5F9F"/>
    <w:rsid w:val="00CE6066"/>
    <w:rsid w:val="00CE7AC1"/>
    <w:rsid w:val="00CF0E09"/>
    <w:rsid w:val="00CF2070"/>
    <w:rsid w:val="00CF2413"/>
    <w:rsid w:val="00CF2459"/>
    <w:rsid w:val="00CF258D"/>
    <w:rsid w:val="00CF2644"/>
    <w:rsid w:val="00CF320D"/>
    <w:rsid w:val="00CF3811"/>
    <w:rsid w:val="00CF4AD6"/>
    <w:rsid w:val="00CF55C3"/>
    <w:rsid w:val="00CF59B8"/>
    <w:rsid w:val="00CF61F1"/>
    <w:rsid w:val="00CF62C5"/>
    <w:rsid w:val="00D00D49"/>
    <w:rsid w:val="00D02477"/>
    <w:rsid w:val="00D02BE1"/>
    <w:rsid w:val="00D034F5"/>
    <w:rsid w:val="00D046FE"/>
    <w:rsid w:val="00D048A9"/>
    <w:rsid w:val="00D04A47"/>
    <w:rsid w:val="00D04F39"/>
    <w:rsid w:val="00D05525"/>
    <w:rsid w:val="00D05BB7"/>
    <w:rsid w:val="00D07010"/>
    <w:rsid w:val="00D071E5"/>
    <w:rsid w:val="00D10331"/>
    <w:rsid w:val="00D105BE"/>
    <w:rsid w:val="00D11560"/>
    <w:rsid w:val="00D11CDD"/>
    <w:rsid w:val="00D11D1F"/>
    <w:rsid w:val="00D13DC4"/>
    <w:rsid w:val="00D15300"/>
    <w:rsid w:val="00D15E22"/>
    <w:rsid w:val="00D15F25"/>
    <w:rsid w:val="00D16C4E"/>
    <w:rsid w:val="00D16F57"/>
    <w:rsid w:val="00D20325"/>
    <w:rsid w:val="00D20C76"/>
    <w:rsid w:val="00D234F8"/>
    <w:rsid w:val="00D23918"/>
    <w:rsid w:val="00D24186"/>
    <w:rsid w:val="00D25140"/>
    <w:rsid w:val="00D25914"/>
    <w:rsid w:val="00D25E97"/>
    <w:rsid w:val="00D25FC3"/>
    <w:rsid w:val="00D26D25"/>
    <w:rsid w:val="00D27337"/>
    <w:rsid w:val="00D27435"/>
    <w:rsid w:val="00D27A76"/>
    <w:rsid w:val="00D30138"/>
    <w:rsid w:val="00D30683"/>
    <w:rsid w:val="00D3101F"/>
    <w:rsid w:val="00D31290"/>
    <w:rsid w:val="00D313BB"/>
    <w:rsid w:val="00D33352"/>
    <w:rsid w:val="00D33DE5"/>
    <w:rsid w:val="00D364F6"/>
    <w:rsid w:val="00D370E8"/>
    <w:rsid w:val="00D37C4A"/>
    <w:rsid w:val="00D417AD"/>
    <w:rsid w:val="00D42642"/>
    <w:rsid w:val="00D42A45"/>
    <w:rsid w:val="00D4329A"/>
    <w:rsid w:val="00D43960"/>
    <w:rsid w:val="00D4428A"/>
    <w:rsid w:val="00D45219"/>
    <w:rsid w:val="00D45C5C"/>
    <w:rsid w:val="00D45E9D"/>
    <w:rsid w:val="00D45FAB"/>
    <w:rsid w:val="00D4620D"/>
    <w:rsid w:val="00D46963"/>
    <w:rsid w:val="00D50644"/>
    <w:rsid w:val="00D51340"/>
    <w:rsid w:val="00D5197A"/>
    <w:rsid w:val="00D52887"/>
    <w:rsid w:val="00D52921"/>
    <w:rsid w:val="00D5355A"/>
    <w:rsid w:val="00D548A3"/>
    <w:rsid w:val="00D54A54"/>
    <w:rsid w:val="00D54FBD"/>
    <w:rsid w:val="00D55235"/>
    <w:rsid w:val="00D562C4"/>
    <w:rsid w:val="00D57B88"/>
    <w:rsid w:val="00D60698"/>
    <w:rsid w:val="00D6106D"/>
    <w:rsid w:val="00D6152B"/>
    <w:rsid w:val="00D616A0"/>
    <w:rsid w:val="00D6206B"/>
    <w:rsid w:val="00D62A23"/>
    <w:rsid w:val="00D6339D"/>
    <w:rsid w:val="00D637A1"/>
    <w:rsid w:val="00D63FE4"/>
    <w:rsid w:val="00D66B1A"/>
    <w:rsid w:val="00D67AB7"/>
    <w:rsid w:val="00D702FA"/>
    <w:rsid w:val="00D716D8"/>
    <w:rsid w:val="00D73AE3"/>
    <w:rsid w:val="00D73F64"/>
    <w:rsid w:val="00D74A48"/>
    <w:rsid w:val="00D75621"/>
    <w:rsid w:val="00D76798"/>
    <w:rsid w:val="00D8045F"/>
    <w:rsid w:val="00D80CA8"/>
    <w:rsid w:val="00D81FC2"/>
    <w:rsid w:val="00D82825"/>
    <w:rsid w:val="00D82EA2"/>
    <w:rsid w:val="00D83E52"/>
    <w:rsid w:val="00D85083"/>
    <w:rsid w:val="00D8526C"/>
    <w:rsid w:val="00D86293"/>
    <w:rsid w:val="00D86749"/>
    <w:rsid w:val="00D86D0E"/>
    <w:rsid w:val="00D87DFF"/>
    <w:rsid w:val="00D87FB7"/>
    <w:rsid w:val="00D90517"/>
    <w:rsid w:val="00D905BA"/>
    <w:rsid w:val="00D90A21"/>
    <w:rsid w:val="00D90E87"/>
    <w:rsid w:val="00D9103A"/>
    <w:rsid w:val="00D92094"/>
    <w:rsid w:val="00D92E30"/>
    <w:rsid w:val="00D9349F"/>
    <w:rsid w:val="00D959B2"/>
    <w:rsid w:val="00D96490"/>
    <w:rsid w:val="00D969C1"/>
    <w:rsid w:val="00D97B3B"/>
    <w:rsid w:val="00D97F88"/>
    <w:rsid w:val="00DA0C7F"/>
    <w:rsid w:val="00DA0D4F"/>
    <w:rsid w:val="00DA1666"/>
    <w:rsid w:val="00DA202E"/>
    <w:rsid w:val="00DA25D7"/>
    <w:rsid w:val="00DA27BF"/>
    <w:rsid w:val="00DA2D31"/>
    <w:rsid w:val="00DA3A90"/>
    <w:rsid w:val="00DA4AA3"/>
    <w:rsid w:val="00DA6A32"/>
    <w:rsid w:val="00DA6ACC"/>
    <w:rsid w:val="00DA7008"/>
    <w:rsid w:val="00DB01E0"/>
    <w:rsid w:val="00DB04B5"/>
    <w:rsid w:val="00DB059C"/>
    <w:rsid w:val="00DB0DB2"/>
    <w:rsid w:val="00DB1210"/>
    <w:rsid w:val="00DB1C23"/>
    <w:rsid w:val="00DB4066"/>
    <w:rsid w:val="00DB460C"/>
    <w:rsid w:val="00DB4C86"/>
    <w:rsid w:val="00DB6AC4"/>
    <w:rsid w:val="00DB6AF9"/>
    <w:rsid w:val="00DB6FC2"/>
    <w:rsid w:val="00DB70B2"/>
    <w:rsid w:val="00DB74C5"/>
    <w:rsid w:val="00DB7B36"/>
    <w:rsid w:val="00DC1720"/>
    <w:rsid w:val="00DC18DC"/>
    <w:rsid w:val="00DC327B"/>
    <w:rsid w:val="00DC3B94"/>
    <w:rsid w:val="00DC3BBD"/>
    <w:rsid w:val="00DC3F6B"/>
    <w:rsid w:val="00DC550E"/>
    <w:rsid w:val="00DC594D"/>
    <w:rsid w:val="00DC6BF0"/>
    <w:rsid w:val="00DC6C91"/>
    <w:rsid w:val="00DC76D9"/>
    <w:rsid w:val="00DD0686"/>
    <w:rsid w:val="00DD08A7"/>
    <w:rsid w:val="00DD0B95"/>
    <w:rsid w:val="00DD14C0"/>
    <w:rsid w:val="00DD2CCA"/>
    <w:rsid w:val="00DD4006"/>
    <w:rsid w:val="00DD5380"/>
    <w:rsid w:val="00DD6EB0"/>
    <w:rsid w:val="00DD6F68"/>
    <w:rsid w:val="00DD7C52"/>
    <w:rsid w:val="00DE06D0"/>
    <w:rsid w:val="00DE0B0E"/>
    <w:rsid w:val="00DE1040"/>
    <w:rsid w:val="00DE1050"/>
    <w:rsid w:val="00DE1184"/>
    <w:rsid w:val="00DE26BD"/>
    <w:rsid w:val="00DE3328"/>
    <w:rsid w:val="00DE5586"/>
    <w:rsid w:val="00DE5886"/>
    <w:rsid w:val="00DE5E43"/>
    <w:rsid w:val="00DE6440"/>
    <w:rsid w:val="00DE64B4"/>
    <w:rsid w:val="00DE64C1"/>
    <w:rsid w:val="00DE6A65"/>
    <w:rsid w:val="00DF08A2"/>
    <w:rsid w:val="00DF0926"/>
    <w:rsid w:val="00DF1706"/>
    <w:rsid w:val="00DF1905"/>
    <w:rsid w:val="00DF1FD7"/>
    <w:rsid w:val="00DF3079"/>
    <w:rsid w:val="00DF30D4"/>
    <w:rsid w:val="00DF3AEF"/>
    <w:rsid w:val="00DF587D"/>
    <w:rsid w:val="00DF5C3D"/>
    <w:rsid w:val="00E00C81"/>
    <w:rsid w:val="00E010F8"/>
    <w:rsid w:val="00E02A2A"/>
    <w:rsid w:val="00E02A5D"/>
    <w:rsid w:val="00E02C5D"/>
    <w:rsid w:val="00E034D7"/>
    <w:rsid w:val="00E04918"/>
    <w:rsid w:val="00E0493B"/>
    <w:rsid w:val="00E0499D"/>
    <w:rsid w:val="00E04B14"/>
    <w:rsid w:val="00E05499"/>
    <w:rsid w:val="00E0598E"/>
    <w:rsid w:val="00E0612D"/>
    <w:rsid w:val="00E06521"/>
    <w:rsid w:val="00E065EC"/>
    <w:rsid w:val="00E06D19"/>
    <w:rsid w:val="00E07691"/>
    <w:rsid w:val="00E07A9E"/>
    <w:rsid w:val="00E100DC"/>
    <w:rsid w:val="00E101DE"/>
    <w:rsid w:val="00E1053B"/>
    <w:rsid w:val="00E1061F"/>
    <w:rsid w:val="00E109CA"/>
    <w:rsid w:val="00E10DAE"/>
    <w:rsid w:val="00E11A61"/>
    <w:rsid w:val="00E137BB"/>
    <w:rsid w:val="00E14282"/>
    <w:rsid w:val="00E146D7"/>
    <w:rsid w:val="00E14789"/>
    <w:rsid w:val="00E14A71"/>
    <w:rsid w:val="00E1564B"/>
    <w:rsid w:val="00E15A84"/>
    <w:rsid w:val="00E1613C"/>
    <w:rsid w:val="00E174E5"/>
    <w:rsid w:val="00E1768F"/>
    <w:rsid w:val="00E178D3"/>
    <w:rsid w:val="00E20596"/>
    <w:rsid w:val="00E20D1C"/>
    <w:rsid w:val="00E20FB3"/>
    <w:rsid w:val="00E212DF"/>
    <w:rsid w:val="00E21375"/>
    <w:rsid w:val="00E21617"/>
    <w:rsid w:val="00E21788"/>
    <w:rsid w:val="00E21872"/>
    <w:rsid w:val="00E21AAA"/>
    <w:rsid w:val="00E21F32"/>
    <w:rsid w:val="00E2224A"/>
    <w:rsid w:val="00E22FA9"/>
    <w:rsid w:val="00E23526"/>
    <w:rsid w:val="00E23613"/>
    <w:rsid w:val="00E24396"/>
    <w:rsid w:val="00E250ED"/>
    <w:rsid w:val="00E251DC"/>
    <w:rsid w:val="00E261F8"/>
    <w:rsid w:val="00E2672E"/>
    <w:rsid w:val="00E26F89"/>
    <w:rsid w:val="00E27BD9"/>
    <w:rsid w:val="00E31618"/>
    <w:rsid w:val="00E31809"/>
    <w:rsid w:val="00E32B38"/>
    <w:rsid w:val="00E32E41"/>
    <w:rsid w:val="00E33147"/>
    <w:rsid w:val="00E34430"/>
    <w:rsid w:val="00E36BD9"/>
    <w:rsid w:val="00E4088D"/>
    <w:rsid w:val="00E40998"/>
    <w:rsid w:val="00E41029"/>
    <w:rsid w:val="00E41239"/>
    <w:rsid w:val="00E412CC"/>
    <w:rsid w:val="00E41923"/>
    <w:rsid w:val="00E421B8"/>
    <w:rsid w:val="00E4229C"/>
    <w:rsid w:val="00E42368"/>
    <w:rsid w:val="00E4310C"/>
    <w:rsid w:val="00E431F5"/>
    <w:rsid w:val="00E441CE"/>
    <w:rsid w:val="00E44CEA"/>
    <w:rsid w:val="00E451F1"/>
    <w:rsid w:val="00E4520B"/>
    <w:rsid w:val="00E45C55"/>
    <w:rsid w:val="00E478A6"/>
    <w:rsid w:val="00E503A8"/>
    <w:rsid w:val="00E5098F"/>
    <w:rsid w:val="00E51ECD"/>
    <w:rsid w:val="00E5284F"/>
    <w:rsid w:val="00E533A1"/>
    <w:rsid w:val="00E5380D"/>
    <w:rsid w:val="00E53B2C"/>
    <w:rsid w:val="00E556C7"/>
    <w:rsid w:val="00E5780A"/>
    <w:rsid w:val="00E601A9"/>
    <w:rsid w:val="00E601AA"/>
    <w:rsid w:val="00E610D2"/>
    <w:rsid w:val="00E614E5"/>
    <w:rsid w:val="00E621DE"/>
    <w:rsid w:val="00E64211"/>
    <w:rsid w:val="00E648F1"/>
    <w:rsid w:val="00E64A35"/>
    <w:rsid w:val="00E656A0"/>
    <w:rsid w:val="00E65C5B"/>
    <w:rsid w:val="00E66B91"/>
    <w:rsid w:val="00E66F8A"/>
    <w:rsid w:val="00E6756B"/>
    <w:rsid w:val="00E7023B"/>
    <w:rsid w:val="00E70DE7"/>
    <w:rsid w:val="00E71BA0"/>
    <w:rsid w:val="00E722F9"/>
    <w:rsid w:val="00E72D7C"/>
    <w:rsid w:val="00E72DB9"/>
    <w:rsid w:val="00E736AA"/>
    <w:rsid w:val="00E7405D"/>
    <w:rsid w:val="00E7441F"/>
    <w:rsid w:val="00E759FD"/>
    <w:rsid w:val="00E75B0A"/>
    <w:rsid w:val="00E76419"/>
    <w:rsid w:val="00E76BC3"/>
    <w:rsid w:val="00E7789F"/>
    <w:rsid w:val="00E779D3"/>
    <w:rsid w:val="00E77CAC"/>
    <w:rsid w:val="00E77EFA"/>
    <w:rsid w:val="00E81015"/>
    <w:rsid w:val="00E81EA9"/>
    <w:rsid w:val="00E82034"/>
    <w:rsid w:val="00E82545"/>
    <w:rsid w:val="00E82A0C"/>
    <w:rsid w:val="00E82B14"/>
    <w:rsid w:val="00E83FF6"/>
    <w:rsid w:val="00E864F5"/>
    <w:rsid w:val="00E8769E"/>
    <w:rsid w:val="00E903A0"/>
    <w:rsid w:val="00E9063D"/>
    <w:rsid w:val="00E910B0"/>
    <w:rsid w:val="00E91C72"/>
    <w:rsid w:val="00E91F10"/>
    <w:rsid w:val="00E92003"/>
    <w:rsid w:val="00E92401"/>
    <w:rsid w:val="00E938F4"/>
    <w:rsid w:val="00E93FA9"/>
    <w:rsid w:val="00E94EA4"/>
    <w:rsid w:val="00E9595B"/>
    <w:rsid w:val="00E96A32"/>
    <w:rsid w:val="00E97131"/>
    <w:rsid w:val="00EA029F"/>
    <w:rsid w:val="00EA052C"/>
    <w:rsid w:val="00EA080A"/>
    <w:rsid w:val="00EA0D94"/>
    <w:rsid w:val="00EA0DAA"/>
    <w:rsid w:val="00EA1270"/>
    <w:rsid w:val="00EA1997"/>
    <w:rsid w:val="00EA1AC3"/>
    <w:rsid w:val="00EA22E5"/>
    <w:rsid w:val="00EA2345"/>
    <w:rsid w:val="00EA3032"/>
    <w:rsid w:val="00EA33B4"/>
    <w:rsid w:val="00EA36FF"/>
    <w:rsid w:val="00EA4DA9"/>
    <w:rsid w:val="00EA5824"/>
    <w:rsid w:val="00EA677E"/>
    <w:rsid w:val="00EA6FCB"/>
    <w:rsid w:val="00EA77B9"/>
    <w:rsid w:val="00EA7DA2"/>
    <w:rsid w:val="00EB008A"/>
    <w:rsid w:val="00EB01EB"/>
    <w:rsid w:val="00EB035C"/>
    <w:rsid w:val="00EB0511"/>
    <w:rsid w:val="00EB082B"/>
    <w:rsid w:val="00EB0AEE"/>
    <w:rsid w:val="00EB1AEF"/>
    <w:rsid w:val="00EB2422"/>
    <w:rsid w:val="00EB2638"/>
    <w:rsid w:val="00EB3D10"/>
    <w:rsid w:val="00EB4C6C"/>
    <w:rsid w:val="00EB547B"/>
    <w:rsid w:val="00EB5842"/>
    <w:rsid w:val="00EB5A9F"/>
    <w:rsid w:val="00EB5BB2"/>
    <w:rsid w:val="00EB6985"/>
    <w:rsid w:val="00EC0F5B"/>
    <w:rsid w:val="00EC1B47"/>
    <w:rsid w:val="00EC2841"/>
    <w:rsid w:val="00EC2CF8"/>
    <w:rsid w:val="00EC361C"/>
    <w:rsid w:val="00EC379D"/>
    <w:rsid w:val="00EC387C"/>
    <w:rsid w:val="00EC3958"/>
    <w:rsid w:val="00EC398C"/>
    <w:rsid w:val="00EC70CE"/>
    <w:rsid w:val="00EC7759"/>
    <w:rsid w:val="00EC7C4D"/>
    <w:rsid w:val="00ED0445"/>
    <w:rsid w:val="00ED0C5D"/>
    <w:rsid w:val="00ED1105"/>
    <w:rsid w:val="00ED1861"/>
    <w:rsid w:val="00ED1937"/>
    <w:rsid w:val="00ED1E3C"/>
    <w:rsid w:val="00ED1ED9"/>
    <w:rsid w:val="00ED2BD9"/>
    <w:rsid w:val="00ED520A"/>
    <w:rsid w:val="00ED57B0"/>
    <w:rsid w:val="00ED5FCE"/>
    <w:rsid w:val="00ED6B35"/>
    <w:rsid w:val="00EE048D"/>
    <w:rsid w:val="00EE1C17"/>
    <w:rsid w:val="00EE31BF"/>
    <w:rsid w:val="00EE4116"/>
    <w:rsid w:val="00EE5942"/>
    <w:rsid w:val="00EE7867"/>
    <w:rsid w:val="00EF0A95"/>
    <w:rsid w:val="00EF10D0"/>
    <w:rsid w:val="00EF21A6"/>
    <w:rsid w:val="00EF2BD1"/>
    <w:rsid w:val="00EF34C1"/>
    <w:rsid w:val="00EF5182"/>
    <w:rsid w:val="00EF51AA"/>
    <w:rsid w:val="00EF54E2"/>
    <w:rsid w:val="00EF562F"/>
    <w:rsid w:val="00EF6841"/>
    <w:rsid w:val="00EF6D67"/>
    <w:rsid w:val="00EF7B3C"/>
    <w:rsid w:val="00F00128"/>
    <w:rsid w:val="00F0054F"/>
    <w:rsid w:val="00F01A24"/>
    <w:rsid w:val="00F03D65"/>
    <w:rsid w:val="00F03E10"/>
    <w:rsid w:val="00F03F38"/>
    <w:rsid w:val="00F041FA"/>
    <w:rsid w:val="00F042FD"/>
    <w:rsid w:val="00F044DB"/>
    <w:rsid w:val="00F04F1F"/>
    <w:rsid w:val="00F05509"/>
    <w:rsid w:val="00F0599B"/>
    <w:rsid w:val="00F06FDC"/>
    <w:rsid w:val="00F07754"/>
    <w:rsid w:val="00F1011B"/>
    <w:rsid w:val="00F1015C"/>
    <w:rsid w:val="00F10DE5"/>
    <w:rsid w:val="00F115A1"/>
    <w:rsid w:val="00F11699"/>
    <w:rsid w:val="00F11A8C"/>
    <w:rsid w:val="00F12494"/>
    <w:rsid w:val="00F12988"/>
    <w:rsid w:val="00F12E79"/>
    <w:rsid w:val="00F13093"/>
    <w:rsid w:val="00F14166"/>
    <w:rsid w:val="00F1448F"/>
    <w:rsid w:val="00F1488F"/>
    <w:rsid w:val="00F14A20"/>
    <w:rsid w:val="00F14AAB"/>
    <w:rsid w:val="00F14CA5"/>
    <w:rsid w:val="00F166A4"/>
    <w:rsid w:val="00F16A4D"/>
    <w:rsid w:val="00F16D32"/>
    <w:rsid w:val="00F17CFA"/>
    <w:rsid w:val="00F20630"/>
    <w:rsid w:val="00F216BF"/>
    <w:rsid w:val="00F21FB8"/>
    <w:rsid w:val="00F22442"/>
    <w:rsid w:val="00F224F3"/>
    <w:rsid w:val="00F22FCD"/>
    <w:rsid w:val="00F23748"/>
    <w:rsid w:val="00F24184"/>
    <w:rsid w:val="00F24566"/>
    <w:rsid w:val="00F260B6"/>
    <w:rsid w:val="00F264D1"/>
    <w:rsid w:val="00F26AA1"/>
    <w:rsid w:val="00F26CB2"/>
    <w:rsid w:val="00F2714E"/>
    <w:rsid w:val="00F2738D"/>
    <w:rsid w:val="00F27FA1"/>
    <w:rsid w:val="00F3037B"/>
    <w:rsid w:val="00F3044A"/>
    <w:rsid w:val="00F30554"/>
    <w:rsid w:val="00F30A33"/>
    <w:rsid w:val="00F30AA8"/>
    <w:rsid w:val="00F30D74"/>
    <w:rsid w:val="00F31981"/>
    <w:rsid w:val="00F33A68"/>
    <w:rsid w:val="00F33C74"/>
    <w:rsid w:val="00F341E0"/>
    <w:rsid w:val="00F342A4"/>
    <w:rsid w:val="00F357E8"/>
    <w:rsid w:val="00F35AF1"/>
    <w:rsid w:val="00F35B6C"/>
    <w:rsid w:val="00F370E3"/>
    <w:rsid w:val="00F37296"/>
    <w:rsid w:val="00F374C2"/>
    <w:rsid w:val="00F37C04"/>
    <w:rsid w:val="00F40141"/>
    <w:rsid w:val="00F405FB"/>
    <w:rsid w:val="00F410B5"/>
    <w:rsid w:val="00F42DDC"/>
    <w:rsid w:val="00F43304"/>
    <w:rsid w:val="00F433B0"/>
    <w:rsid w:val="00F43D8F"/>
    <w:rsid w:val="00F43EA9"/>
    <w:rsid w:val="00F443A9"/>
    <w:rsid w:val="00F44623"/>
    <w:rsid w:val="00F44CA3"/>
    <w:rsid w:val="00F456C0"/>
    <w:rsid w:val="00F45A0E"/>
    <w:rsid w:val="00F45F67"/>
    <w:rsid w:val="00F47945"/>
    <w:rsid w:val="00F50B5E"/>
    <w:rsid w:val="00F50DBE"/>
    <w:rsid w:val="00F51C7D"/>
    <w:rsid w:val="00F52856"/>
    <w:rsid w:val="00F52DAE"/>
    <w:rsid w:val="00F5367A"/>
    <w:rsid w:val="00F538D9"/>
    <w:rsid w:val="00F5428D"/>
    <w:rsid w:val="00F5498B"/>
    <w:rsid w:val="00F5723C"/>
    <w:rsid w:val="00F57333"/>
    <w:rsid w:val="00F57794"/>
    <w:rsid w:val="00F6137D"/>
    <w:rsid w:val="00F61387"/>
    <w:rsid w:val="00F62550"/>
    <w:rsid w:val="00F62597"/>
    <w:rsid w:val="00F62AD4"/>
    <w:rsid w:val="00F62F9E"/>
    <w:rsid w:val="00F63D5D"/>
    <w:rsid w:val="00F63FFC"/>
    <w:rsid w:val="00F64023"/>
    <w:rsid w:val="00F6439C"/>
    <w:rsid w:val="00F64C42"/>
    <w:rsid w:val="00F659E9"/>
    <w:rsid w:val="00F66016"/>
    <w:rsid w:val="00F7032A"/>
    <w:rsid w:val="00F708FB"/>
    <w:rsid w:val="00F711D0"/>
    <w:rsid w:val="00F71D0D"/>
    <w:rsid w:val="00F723D0"/>
    <w:rsid w:val="00F73288"/>
    <w:rsid w:val="00F74BF3"/>
    <w:rsid w:val="00F75026"/>
    <w:rsid w:val="00F75184"/>
    <w:rsid w:val="00F75612"/>
    <w:rsid w:val="00F76507"/>
    <w:rsid w:val="00F767DF"/>
    <w:rsid w:val="00F76EC8"/>
    <w:rsid w:val="00F778A0"/>
    <w:rsid w:val="00F77F7A"/>
    <w:rsid w:val="00F8066E"/>
    <w:rsid w:val="00F82307"/>
    <w:rsid w:val="00F82DF9"/>
    <w:rsid w:val="00F83296"/>
    <w:rsid w:val="00F836D5"/>
    <w:rsid w:val="00F83B3F"/>
    <w:rsid w:val="00F84534"/>
    <w:rsid w:val="00F84FB5"/>
    <w:rsid w:val="00F860F0"/>
    <w:rsid w:val="00F86A2A"/>
    <w:rsid w:val="00F90ABB"/>
    <w:rsid w:val="00F90B0C"/>
    <w:rsid w:val="00F91C75"/>
    <w:rsid w:val="00F91CE1"/>
    <w:rsid w:val="00F91D10"/>
    <w:rsid w:val="00F923A4"/>
    <w:rsid w:val="00F9269B"/>
    <w:rsid w:val="00F92D0B"/>
    <w:rsid w:val="00F930F1"/>
    <w:rsid w:val="00F9322A"/>
    <w:rsid w:val="00F933E6"/>
    <w:rsid w:val="00F94886"/>
    <w:rsid w:val="00F94D3E"/>
    <w:rsid w:val="00F95A06"/>
    <w:rsid w:val="00F96436"/>
    <w:rsid w:val="00F96862"/>
    <w:rsid w:val="00FA013E"/>
    <w:rsid w:val="00FA1E63"/>
    <w:rsid w:val="00FA34E1"/>
    <w:rsid w:val="00FA4B98"/>
    <w:rsid w:val="00FA58B9"/>
    <w:rsid w:val="00FA678D"/>
    <w:rsid w:val="00FA6D79"/>
    <w:rsid w:val="00FA6DFE"/>
    <w:rsid w:val="00FA710C"/>
    <w:rsid w:val="00FA714A"/>
    <w:rsid w:val="00FA7BDD"/>
    <w:rsid w:val="00FA7EB4"/>
    <w:rsid w:val="00FB0072"/>
    <w:rsid w:val="00FB08E7"/>
    <w:rsid w:val="00FB1E3F"/>
    <w:rsid w:val="00FB1E7F"/>
    <w:rsid w:val="00FB2BB8"/>
    <w:rsid w:val="00FB42C5"/>
    <w:rsid w:val="00FB45B9"/>
    <w:rsid w:val="00FB4EC3"/>
    <w:rsid w:val="00FB5133"/>
    <w:rsid w:val="00FB568A"/>
    <w:rsid w:val="00FB66AF"/>
    <w:rsid w:val="00FB6C0A"/>
    <w:rsid w:val="00FB6D61"/>
    <w:rsid w:val="00FB713D"/>
    <w:rsid w:val="00FB7301"/>
    <w:rsid w:val="00FB76D1"/>
    <w:rsid w:val="00FB7B8D"/>
    <w:rsid w:val="00FC01FF"/>
    <w:rsid w:val="00FC04F0"/>
    <w:rsid w:val="00FC1C40"/>
    <w:rsid w:val="00FC2B65"/>
    <w:rsid w:val="00FC44BA"/>
    <w:rsid w:val="00FC45D3"/>
    <w:rsid w:val="00FC4EE9"/>
    <w:rsid w:val="00FC5A33"/>
    <w:rsid w:val="00FC6099"/>
    <w:rsid w:val="00FD0932"/>
    <w:rsid w:val="00FD0C54"/>
    <w:rsid w:val="00FD155F"/>
    <w:rsid w:val="00FD1DB2"/>
    <w:rsid w:val="00FD2DEE"/>
    <w:rsid w:val="00FD4313"/>
    <w:rsid w:val="00FD4606"/>
    <w:rsid w:val="00FD5006"/>
    <w:rsid w:val="00FD56E9"/>
    <w:rsid w:val="00FD5745"/>
    <w:rsid w:val="00FD6109"/>
    <w:rsid w:val="00FD619F"/>
    <w:rsid w:val="00FD6534"/>
    <w:rsid w:val="00FD7EAF"/>
    <w:rsid w:val="00FE0510"/>
    <w:rsid w:val="00FE0781"/>
    <w:rsid w:val="00FE0AE1"/>
    <w:rsid w:val="00FE1915"/>
    <w:rsid w:val="00FE255F"/>
    <w:rsid w:val="00FE2820"/>
    <w:rsid w:val="00FE2B1B"/>
    <w:rsid w:val="00FE3181"/>
    <w:rsid w:val="00FE40B9"/>
    <w:rsid w:val="00FE455C"/>
    <w:rsid w:val="00FE53A6"/>
    <w:rsid w:val="00FE6A8F"/>
    <w:rsid w:val="00FF009D"/>
    <w:rsid w:val="00FF0141"/>
    <w:rsid w:val="00FF22FD"/>
    <w:rsid w:val="00FF3E0E"/>
    <w:rsid w:val="00FF43A7"/>
    <w:rsid w:val="00FF4B29"/>
    <w:rsid w:val="00FF5585"/>
    <w:rsid w:val="00FF56F9"/>
    <w:rsid w:val="00FF6CBE"/>
    <w:rsid w:val="00FF6CE2"/>
    <w:rsid w:val="00FF7BFD"/>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59F01C75-0B4E-4C20-8B7C-D517D42E83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2F6A"/>
    <w:pPr>
      <w:spacing w:line="360" w:lineRule="auto"/>
      <w:jc w:val="both"/>
    </w:pPr>
    <w:rPr>
      <w:rFonts w:ascii="Bookman Old Style" w:eastAsia="Times New Roman" w:hAnsi="Bookman Old Style" w:cs="Arial"/>
      <w:sz w:val="28"/>
      <w:lang w:val="es-ES_tradnl" w:eastAsia="es-ES"/>
    </w:rPr>
  </w:style>
  <w:style w:type="paragraph" w:styleId="Ttulo1">
    <w:name w:val="heading 1"/>
    <w:basedOn w:val="Normal"/>
    <w:next w:val="Normal"/>
    <w:link w:val="Ttulo1Car"/>
    <w:autoRedefine/>
    <w:qFormat/>
    <w:rsid w:val="00DE1040"/>
    <w:pPr>
      <w:keepNext/>
      <w:numPr>
        <w:numId w:val="10"/>
      </w:numPr>
      <w:jc w:val="center"/>
      <w:outlineLvl w:val="0"/>
    </w:pPr>
    <w:rPr>
      <w:rFonts w:cs="Times New Roman"/>
      <w:b/>
      <w:caps/>
      <w:lang w:val="es-ES"/>
    </w:rPr>
  </w:style>
  <w:style w:type="paragraph" w:styleId="Ttulo2">
    <w:name w:val="heading 2"/>
    <w:aliases w:val="Subtitulo"/>
    <w:basedOn w:val="Normal"/>
    <w:next w:val="Normal"/>
    <w:link w:val="Ttulo2Car"/>
    <w:autoRedefine/>
    <w:qFormat/>
    <w:rsid w:val="00766169"/>
    <w:pPr>
      <w:keepNext/>
      <w:jc w:val="center"/>
      <w:outlineLvl w:val="1"/>
    </w:pPr>
    <w:rPr>
      <w:rFonts w:cs="Times New Roman"/>
      <w:b/>
      <w:lang w:val="es-ES"/>
    </w:rPr>
  </w:style>
  <w:style w:type="paragraph" w:styleId="Ttulo3">
    <w:name w:val="heading 3"/>
    <w:basedOn w:val="Normal"/>
    <w:next w:val="Normal"/>
    <w:link w:val="Ttulo3Car"/>
    <w:uiPriority w:val="9"/>
    <w:unhideWhenUsed/>
    <w:rsid w:val="007D2F46"/>
    <w:pPr>
      <w:keepNext/>
      <w:keepLines/>
      <w:numPr>
        <w:ilvl w:val="2"/>
        <w:numId w:val="10"/>
      </w:numPr>
      <w:spacing w:before="40"/>
      <w:outlineLvl w:val="2"/>
    </w:pPr>
    <w:rPr>
      <w:rFonts w:asciiTheme="majorHAnsi" w:eastAsiaTheme="majorEastAsia" w:hAnsiTheme="majorHAnsi" w:cstheme="majorBidi"/>
      <w:color w:val="1F4D78" w:themeColor="accent1" w:themeShade="7F"/>
      <w:szCs w:val="24"/>
    </w:rPr>
  </w:style>
  <w:style w:type="paragraph" w:styleId="Ttulo4">
    <w:name w:val="heading 4"/>
    <w:basedOn w:val="Normal"/>
    <w:next w:val="Normal"/>
    <w:link w:val="Ttulo4Car"/>
    <w:uiPriority w:val="9"/>
    <w:semiHidden/>
    <w:unhideWhenUsed/>
    <w:qFormat/>
    <w:rsid w:val="007D2F46"/>
    <w:pPr>
      <w:keepNext/>
      <w:keepLines/>
      <w:numPr>
        <w:ilvl w:val="3"/>
        <w:numId w:val="10"/>
      </w:numPr>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semiHidden/>
    <w:unhideWhenUsed/>
    <w:qFormat/>
    <w:rsid w:val="007D2F46"/>
    <w:pPr>
      <w:keepNext/>
      <w:keepLines/>
      <w:numPr>
        <w:ilvl w:val="4"/>
        <w:numId w:val="10"/>
      </w:numPr>
      <w:spacing w:before="4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ar"/>
    <w:uiPriority w:val="9"/>
    <w:semiHidden/>
    <w:unhideWhenUsed/>
    <w:qFormat/>
    <w:rsid w:val="007D2F46"/>
    <w:pPr>
      <w:keepNext/>
      <w:keepLines/>
      <w:numPr>
        <w:ilvl w:val="5"/>
        <w:numId w:val="10"/>
      </w:numPr>
      <w:spacing w:before="40"/>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ar"/>
    <w:uiPriority w:val="9"/>
    <w:semiHidden/>
    <w:unhideWhenUsed/>
    <w:qFormat/>
    <w:rsid w:val="007D2F46"/>
    <w:pPr>
      <w:keepNext/>
      <w:keepLines/>
      <w:numPr>
        <w:ilvl w:val="6"/>
        <w:numId w:val="10"/>
      </w:numPr>
      <w:spacing w:before="4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ar"/>
    <w:uiPriority w:val="9"/>
    <w:semiHidden/>
    <w:unhideWhenUsed/>
    <w:qFormat/>
    <w:rsid w:val="007D2F46"/>
    <w:pPr>
      <w:keepNext/>
      <w:keepLines/>
      <w:numPr>
        <w:ilvl w:val="7"/>
        <w:numId w:val="10"/>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7D2F46"/>
    <w:pPr>
      <w:keepNext/>
      <w:keepLines/>
      <w:numPr>
        <w:ilvl w:val="8"/>
        <w:numId w:val="10"/>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DE1040"/>
    <w:rPr>
      <w:rFonts w:ascii="Bookman Old Style" w:eastAsia="Times New Roman" w:hAnsi="Bookman Old Style"/>
      <w:b/>
      <w:caps/>
      <w:sz w:val="28"/>
      <w:lang w:val="es-ES" w:eastAsia="es-ES"/>
    </w:rPr>
  </w:style>
  <w:style w:type="character" w:customStyle="1" w:styleId="Ttulo2Car">
    <w:name w:val="Título 2 Car"/>
    <w:aliases w:val="Subtitulo Car"/>
    <w:link w:val="Ttulo2"/>
    <w:rsid w:val="00766169"/>
    <w:rPr>
      <w:rFonts w:ascii="Bookman Old Style" w:eastAsia="Times New Roman" w:hAnsi="Bookman Old Style"/>
      <w:b/>
      <w:sz w:val="28"/>
      <w:lang w:val="es-ES" w:eastAsia="es-ES"/>
    </w:rPr>
  </w:style>
  <w:style w:type="paragraph" w:customStyle="1" w:styleId="Ttulo10">
    <w:name w:val="Título1"/>
    <w:basedOn w:val="Normal"/>
    <w:link w:val="TtuloCar"/>
    <w:qFormat/>
    <w:rsid w:val="00C530DD"/>
    <w:pPr>
      <w:jc w:val="center"/>
    </w:pPr>
    <w:rPr>
      <w:rFonts w:ascii="Verdana" w:hAnsi="Verdana" w:cs="Times New Roman"/>
      <w:b/>
      <w:lang w:val="es-ES"/>
    </w:rPr>
  </w:style>
  <w:style w:type="character" w:customStyle="1" w:styleId="TtuloCar">
    <w:name w:val="Título Car"/>
    <w:link w:val="Ttulo10"/>
    <w:rsid w:val="00C530DD"/>
    <w:rPr>
      <w:rFonts w:ascii="Verdana" w:eastAsia="Times New Roman" w:hAnsi="Verdana" w:cs="Times New Roman"/>
      <w:b/>
      <w:sz w:val="28"/>
      <w:szCs w:val="20"/>
      <w:lang w:val="es-ES" w:eastAsia="es-ES"/>
    </w:rPr>
  </w:style>
  <w:style w:type="paragraph" w:styleId="Subttulo">
    <w:name w:val="Subtitle"/>
    <w:basedOn w:val="Normal"/>
    <w:link w:val="SubttuloCar"/>
    <w:rsid w:val="00C530DD"/>
    <w:pPr>
      <w:jc w:val="center"/>
    </w:pPr>
    <w:rPr>
      <w:rFonts w:ascii="Verdana" w:hAnsi="Verdana" w:cs="Times New Roman"/>
      <w:b/>
      <w:lang w:val="es-ES"/>
    </w:rPr>
  </w:style>
  <w:style w:type="character" w:customStyle="1" w:styleId="SubttuloCar">
    <w:name w:val="Subtítulo Car"/>
    <w:link w:val="Subttulo"/>
    <w:rsid w:val="00C530DD"/>
    <w:rPr>
      <w:rFonts w:ascii="Verdana" w:eastAsia="Times New Roman" w:hAnsi="Verdana" w:cs="Times New Roman"/>
      <w:b/>
      <w:sz w:val="28"/>
      <w:szCs w:val="20"/>
      <w:lang w:val="es-ES" w:eastAsia="es-ES"/>
    </w:rPr>
  </w:style>
  <w:style w:type="paragraph" w:styleId="Textoindependiente">
    <w:name w:val="Body Text"/>
    <w:basedOn w:val="Normal"/>
    <w:link w:val="TextoindependienteCar"/>
    <w:rsid w:val="00C530DD"/>
    <w:rPr>
      <w:rFonts w:ascii="Verdana" w:hAnsi="Verdana" w:cs="Times New Roman"/>
      <w:lang w:val="es-ES"/>
    </w:rPr>
  </w:style>
  <w:style w:type="character" w:customStyle="1" w:styleId="TextoindependienteCar">
    <w:name w:val="Texto independiente Car"/>
    <w:link w:val="Textoindependiente"/>
    <w:rsid w:val="00C530DD"/>
    <w:rPr>
      <w:rFonts w:ascii="Verdana" w:eastAsia="Times New Roman" w:hAnsi="Verdana" w:cs="Times New Roman"/>
      <w:sz w:val="28"/>
      <w:szCs w:val="20"/>
      <w:lang w:val="es-ES" w:eastAsia="es-E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ootnote Text Char,Footnote referenc"/>
    <w:basedOn w:val="Normal"/>
    <w:link w:val="TextonotapieCar"/>
    <w:uiPriority w:val="99"/>
    <w:rsid w:val="00C530DD"/>
    <w:rPr>
      <w:rFonts w:ascii="Times New Roman" w:hAnsi="Times New Roman" w:cs="Times New Roman"/>
      <w:sz w:val="20"/>
      <w:lang w:val="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ootnote Text Char Car"/>
    <w:link w:val="Textonotapie"/>
    <w:uiPriority w:val="99"/>
    <w:rsid w:val="00C530DD"/>
    <w:rPr>
      <w:rFonts w:ascii="Times New Roman" w:eastAsia="Times New Roman" w:hAnsi="Times New Roman" w:cs="Times New Roman"/>
      <w:sz w:val="20"/>
      <w:szCs w:val="20"/>
      <w:lang w:val="es-ES" w:eastAsia="es-ES"/>
    </w:rPr>
  </w:style>
  <w:style w:type="character" w:styleId="Refdenotaalpie">
    <w:name w:val="footnote reference"/>
    <w:aliases w:val="FC"/>
    <w:uiPriority w:val="99"/>
    <w:rsid w:val="00C530DD"/>
    <w:rPr>
      <w:vertAlign w:val="superscript"/>
    </w:rPr>
  </w:style>
  <w:style w:type="paragraph" w:customStyle="1" w:styleId="Textoindependiente21">
    <w:name w:val="Texto independiente 21"/>
    <w:basedOn w:val="Normal"/>
    <w:rsid w:val="002C4783"/>
    <w:pPr>
      <w:ind w:firstLine="1418"/>
    </w:pPr>
    <w:rPr>
      <w:rFonts w:cs="Times New Roman"/>
      <w:lang w:val="es-MX"/>
    </w:rPr>
  </w:style>
  <w:style w:type="paragraph" w:styleId="Piedepgina">
    <w:name w:val="footer"/>
    <w:basedOn w:val="Normal"/>
    <w:link w:val="PiedepginaCar"/>
    <w:rsid w:val="0019532D"/>
    <w:pPr>
      <w:tabs>
        <w:tab w:val="center" w:pos="4419"/>
        <w:tab w:val="right" w:pos="8838"/>
      </w:tabs>
    </w:pPr>
    <w:rPr>
      <w:rFonts w:cs="Times New Roman"/>
      <w:lang w:eastAsia="es-CO"/>
    </w:rPr>
  </w:style>
  <w:style w:type="character" w:customStyle="1" w:styleId="PiedepginaCar">
    <w:name w:val="Pie de página Car"/>
    <w:link w:val="Piedepgina"/>
    <w:rsid w:val="0019532D"/>
    <w:rPr>
      <w:rFonts w:ascii="Arial" w:eastAsia="Times New Roman" w:hAnsi="Arial" w:cs="Times New Roman"/>
      <w:sz w:val="24"/>
      <w:szCs w:val="20"/>
      <w:lang w:val="es-ES_tradnl" w:eastAsia="es-CO"/>
    </w:rPr>
  </w:style>
  <w:style w:type="paragraph" w:styleId="Sangradetextonormal">
    <w:name w:val="Body Text Indent"/>
    <w:basedOn w:val="Normal"/>
    <w:link w:val="SangradetextonormalCar"/>
    <w:rsid w:val="003E65E6"/>
    <w:pPr>
      <w:spacing w:after="120"/>
      <w:ind w:left="283"/>
    </w:pPr>
  </w:style>
  <w:style w:type="character" w:customStyle="1" w:styleId="SangradetextonormalCar">
    <w:name w:val="Sangría de texto normal Car"/>
    <w:link w:val="Sangradetextonormal"/>
    <w:rsid w:val="003E65E6"/>
    <w:rPr>
      <w:rFonts w:ascii="Arial" w:eastAsia="Times New Roman" w:hAnsi="Arial" w:cs="Arial"/>
      <w:sz w:val="24"/>
      <w:szCs w:val="20"/>
      <w:lang w:val="es-ES_tradnl" w:eastAsia="es-ES"/>
    </w:rPr>
  </w:style>
  <w:style w:type="paragraph" w:customStyle="1" w:styleId="Epgrafe1">
    <w:name w:val="Epígrafe1"/>
    <w:basedOn w:val="Normal"/>
    <w:next w:val="Normal"/>
    <w:rsid w:val="00837D95"/>
    <w:pPr>
      <w:jc w:val="center"/>
    </w:pPr>
    <w:rPr>
      <w:rFonts w:ascii="ShelleyVolante BT" w:hAnsi="ShelleyVolante BT" w:cs="Times New Roman"/>
      <w:b/>
      <w:szCs w:val="24"/>
      <w:lang w:val="es-ES"/>
    </w:rPr>
  </w:style>
  <w:style w:type="paragraph" w:styleId="Textodeglobo">
    <w:name w:val="Balloon Text"/>
    <w:basedOn w:val="Normal"/>
    <w:link w:val="TextodegloboCar"/>
    <w:unhideWhenUsed/>
    <w:rsid w:val="00837D95"/>
    <w:rPr>
      <w:rFonts w:ascii="Tahoma" w:hAnsi="Tahoma" w:cs="Tahoma"/>
      <w:sz w:val="16"/>
      <w:szCs w:val="16"/>
    </w:rPr>
  </w:style>
  <w:style w:type="character" w:customStyle="1" w:styleId="TextodegloboCar">
    <w:name w:val="Texto de globo Car"/>
    <w:link w:val="Textodeglobo"/>
    <w:rsid w:val="00837D95"/>
    <w:rPr>
      <w:rFonts w:ascii="Tahoma" w:eastAsia="Times New Roman" w:hAnsi="Tahoma" w:cs="Tahoma"/>
      <w:sz w:val="16"/>
      <w:szCs w:val="16"/>
      <w:lang w:val="es-ES_tradnl" w:eastAsia="es-ES"/>
    </w:rPr>
  </w:style>
  <w:style w:type="paragraph" w:styleId="Encabezado">
    <w:name w:val="header"/>
    <w:basedOn w:val="Normal"/>
    <w:link w:val="EncabezadoCar"/>
    <w:unhideWhenUsed/>
    <w:rsid w:val="003B730A"/>
    <w:pPr>
      <w:tabs>
        <w:tab w:val="center" w:pos="4419"/>
        <w:tab w:val="right" w:pos="8838"/>
      </w:tabs>
    </w:pPr>
  </w:style>
  <w:style w:type="character" w:customStyle="1" w:styleId="EncabezadoCar">
    <w:name w:val="Encabezado Car"/>
    <w:link w:val="Encabezado"/>
    <w:rsid w:val="003B730A"/>
    <w:rPr>
      <w:rFonts w:ascii="Arial" w:eastAsia="Times New Roman" w:hAnsi="Arial" w:cs="Arial"/>
      <w:sz w:val="24"/>
      <w:szCs w:val="20"/>
      <w:lang w:val="es-ES_tradnl" w:eastAsia="es-ES"/>
    </w:rPr>
  </w:style>
  <w:style w:type="paragraph" w:styleId="Prrafodelista">
    <w:name w:val="List Paragraph"/>
    <w:basedOn w:val="Normal"/>
    <w:uiPriority w:val="34"/>
    <w:rsid w:val="00060093"/>
    <w:pPr>
      <w:ind w:left="720"/>
      <w:contextualSpacing/>
    </w:pPr>
  </w:style>
  <w:style w:type="paragraph" w:styleId="Sangra2detindependiente">
    <w:name w:val="Body Text Indent 2"/>
    <w:basedOn w:val="Normal"/>
    <w:link w:val="Sangra2detindependienteCar"/>
    <w:unhideWhenUsed/>
    <w:rsid w:val="00D11D1F"/>
    <w:pPr>
      <w:spacing w:after="120" w:line="480" w:lineRule="auto"/>
      <w:ind w:left="283"/>
    </w:pPr>
  </w:style>
  <w:style w:type="character" w:customStyle="1" w:styleId="Sangra2detindependienteCar">
    <w:name w:val="Sangría 2 de t. independiente Car"/>
    <w:link w:val="Sangra2detindependiente"/>
    <w:rsid w:val="00D11D1F"/>
    <w:rPr>
      <w:rFonts w:ascii="Arial" w:eastAsia="Times New Roman" w:hAnsi="Arial" w:cs="Arial"/>
      <w:sz w:val="24"/>
      <w:lang w:val="es-ES_tradnl" w:eastAsia="es-ES"/>
    </w:rPr>
  </w:style>
  <w:style w:type="character" w:styleId="Nmerodepgina">
    <w:name w:val="page number"/>
    <w:rsid w:val="00D11D1F"/>
  </w:style>
  <w:style w:type="paragraph" w:styleId="NormalWeb">
    <w:name w:val="Normal (Web)"/>
    <w:basedOn w:val="Normal"/>
    <w:uiPriority w:val="99"/>
    <w:rsid w:val="00D11D1F"/>
    <w:pPr>
      <w:spacing w:before="100" w:beforeAutospacing="1" w:after="100" w:afterAutospacing="1" w:line="460" w:lineRule="atLeast"/>
      <w:ind w:firstLine="709"/>
    </w:pPr>
    <w:rPr>
      <w:rFonts w:ascii="Times New Roman" w:hAnsi="Times New Roman" w:cs="Times New Roman"/>
      <w:szCs w:val="24"/>
      <w:lang w:val="es-ES"/>
    </w:rPr>
  </w:style>
  <w:style w:type="table" w:styleId="Listamedia2-nfasis1">
    <w:name w:val="Medium List 2 Accent 1"/>
    <w:basedOn w:val="Tablanormal"/>
    <w:uiPriority w:val="66"/>
    <w:rsid w:val="00D11D1F"/>
    <w:rPr>
      <w:rFonts w:ascii="Cambria" w:eastAsia="Times New Roman" w:hAnsi="Cambria"/>
      <w:color w:val="000000"/>
      <w:sz w:val="22"/>
      <w:szCs w:val="22"/>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character" w:styleId="Refdecomentario">
    <w:name w:val="annotation reference"/>
    <w:rsid w:val="00D11D1F"/>
    <w:rPr>
      <w:sz w:val="16"/>
      <w:szCs w:val="16"/>
    </w:rPr>
  </w:style>
  <w:style w:type="paragraph" w:styleId="Textocomentario">
    <w:name w:val="annotation text"/>
    <w:basedOn w:val="Normal"/>
    <w:link w:val="TextocomentarioCar"/>
    <w:rsid w:val="00D11D1F"/>
    <w:pPr>
      <w:spacing w:line="460" w:lineRule="atLeast"/>
      <w:ind w:firstLine="709"/>
    </w:pPr>
    <w:rPr>
      <w:rFonts w:cs="Times New Roman"/>
      <w:sz w:val="20"/>
    </w:rPr>
  </w:style>
  <w:style w:type="character" w:customStyle="1" w:styleId="TextocomentarioCar">
    <w:name w:val="Texto comentario Car"/>
    <w:link w:val="Textocomentario"/>
    <w:rsid w:val="00D11D1F"/>
    <w:rPr>
      <w:rFonts w:ascii="Arial" w:eastAsia="Times New Roman" w:hAnsi="Arial"/>
      <w:lang w:val="es-ES_tradnl" w:eastAsia="es-ES"/>
    </w:rPr>
  </w:style>
  <w:style w:type="paragraph" w:styleId="Asuntodelcomentario">
    <w:name w:val="annotation subject"/>
    <w:basedOn w:val="Textocomentario"/>
    <w:next w:val="Textocomentario"/>
    <w:link w:val="AsuntodelcomentarioCar"/>
    <w:rsid w:val="00D11D1F"/>
    <w:rPr>
      <w:b/>
      <w:bCs/>
    </w:rPr>
  </w:style>
  <w:style w:type="character" w:customStyle="1" w:styleId="AsuntodelcomentarioCar">
    <w:name w:val="Asunto del comentario Car"/>
    <w:link w:val="Asuntodelcomentario"/>
    <w:rsid w:val="00D11D1F"/>
    <w:rPr>
      <w:rFonts w:ascii="Arial" w:eastAsia="Times New Roman" w:hAnsi="Arial"/>
      <w:b/>
      <w:bCs/>
      <w:lang w:val="es-ES_tradnl" w:eastAsia="es-ES"/>
    </w:rPr>
  </w:style>
  <w:style w:type="character" w:styleId="Hipervnculo">
    <w:name w:val="Hyperlink"/>
    <w:uiPriority w:val="99"/>
    <w:unhideWhenUsed/>
    <w:rsid w:val="00D11D1F"/>
    <w:rPr>
      <w:color w:val="0000FF"/>
      <w:u w:val="single"/>
    </w:rPr>
  </w:style>
  <w:style w:type="character" w:customStyle="1" w:styleId="textonavy">
    <w:name w:val="texto_navy"/>
    <w:rsid w:val="00D11D1F"/>
  </w:style>
  <w:style w:type="character" w:customStyle="1" w:styleId="apple-converted-space">
    <w:name w:val="apple-converted-space"/>
    <w:rsid w:val="00D11D1F"/>
  </w:style>
  <w:style w:type="paragraph" w:styleId="Textoindependiente2">
    <w:name w:val="Body Text 2"/>
    <w:basedOn w:val="Normal"/>
    <w:link w:val="Textoindependiente2Car"/>
    <w:uiPriority w:val="99"/>
    <w:semiHidden/>
    <w:unhideWhenUsed/>
    <w:rsid w:val="000C0607"/>
    <w:pPr>
      <w:spacing w:after="120" w:line="480" w:lineRule="auto"/>
    </w:pPr>
  </w:style>
  <w:style w:type="character" w:customStyle="1" w:styleId="Textoindependiente2Car">
    <w:name w:val="Texto independiente 2 Car"/>
    <w:basedOn w:val="Fuentedeprrafopredeter"/>
    <w:link w:val="Textoindependiente2"/>
    <w:uiPriority w:val="99"/>
    <w:semiHidden/>
    <w:rsid w:val="000C0607"/>
    <w:rPr>
      <w:rFonts w:ascii="Arial" w:eastAsia="Times New Roman" w:hAnsi="Arial" w:cs="Arial"/>
      <w:sz w:val="24"/>
      <w:lang w:val="es-ES_tradnl" w:eastAsia="es-ES"/>
    </w:rPr>
  </w:style>
  <w:style w:type="character" w:customStyle="1" w:styleId="f01">
    <w:name w:val="f01"/>
    <w:basedOn w:val="Fuentedeprrafopredeter"/>
    <w:rsid w:val="002B6CE1"/>
    <w:rPr>
      <w:rFonts w:ascii="Times New Roman" w:hAnsi="Times New Roman" w:cs="Times New Roman" w:hint="default"/>
      <w:color w:val="000000"/>
      <w:sz w:val="24"/>
      <w:szCs w:val="24"/>
    </w:rPr>
  </w:style>
  <w:style w:type="character" w:customStyle="1" w:styleId="Ttulo3Car">
    <w:name w:val="Título 3 Car"/>
    <w:basedOn w:val="Fuentedeprrafopredeter"/>
    <w:link w:val="Ttulo3"/>
    <w:uiPriority w:val="9"/>
    <w:rsid w:val="007D2F46"/>
    <w:rPr>
      <w:rFonts w:asciiTheme="majorHAnsi" w:eastAsiaTheme="majorEastAsia" w:hAnsiTheme="majorHAnsi" w:cstheme="majorBidi"/>
      <w:color w:val="1F4D78" w:themeColor="accent1" w:themeShade="7F"/>
      <w:sz w:val="24"/>
      <w:szCs w:val="24"/>
      <w:lang w:val="es-ES_tradnl" w:eastAsia="es-ES"/>
    </w:rPr>
  </w:style>
  <w:style w:type="character" w:customStyle="1" w:styleId="Ttulo4Car">
    <w:name w:val="Título 4 Car"/>
    <w:basedOn w:val="Fuentedeprrafopredeter"/>
    <w:link w:val="Ttulo4"/>
    <w:uiPriority w:val="9"/>
    <w:semiHidden/>
    <w:rsid w:val="007D2F46"/>
    <w:rPr>
      <w:rFonts w:asciiTheme="majorHAnsi" w:eastAsiaTheme="majorEastAsia" w:hAnsiTheme="majorHAnsi" w:cstheme="majorBidi"/>
      <w:i/>
      <w:iCs/>
      <w:color w:val="2E74B5" w:themeColor="accent1" w:themeShade="BF"/>
      <w:sz w:val="24"/>
      <w:lang w:val="es-ES_tradnl" w:eastAsia="es-ES"/>
    </w:rPr>
  </w:style>
  <w:style w:type="character" w:customStyle="1" w:styleId="Ttulo5Car">
    <w:name w:val="Título 5 Car"/>
    <w:basedOn w:val="Fuentedeprrafopredeter"/>
    <w:link w:val="Ttulo5"/>
    <w:uiPriority w:val="9"/>
    <w:semiHidden/>
    <w:rsid w:val="007D2F46"/>
    <w:rPr>
      <w:rFonts w:asciiTheme="majorHAnsi" w:eastAsiaTheme="majorEastAsia" w:hAnsiTheme="majorHAnsi" w:cstheme="majorBidi"/>
      <w:color w:val="2E74B5" w:themeColor="accent1" w:themeShade="BF"/>
      <w:sz w:val="24"/>
      <w:lang w:val="es-ES_tradnl" w:eastAsia="es-ES"/>
    </w:rPr>
  </w:style>
  <w:style w:type="character" w:customStyle="1" w:styleId="Ttulo6Car">
    <w:name w:val="Título 6 Car"/>
    <w:basedOn w:val="Fuentedeprrafopredeter"/>
    <w:link w:val="Ttulo6"/>
    <w:uiPriority w:val="9"/>
    <w:semiHidden/>
    <w:rsid w:val="007D2F46"/>
    <w:rPr>
      <w:rFonts w:asciiTheme="majorHAnsi" w:eastAsiaTheme="majorEastAsia" w:hAnsiTheme="majorHAnsi" w:cstheme="majorBidi"/>
      <w:color w:val="1F4D78" w:themeColor="accent1" w:themeShade="7F"/>
      <w:sz w:val="24"/>
      <w:lang w:val="es-ES_tradnl" w:eastAsia="es-ES"/>
    </w:rPr>
  </w:style>
  <w:style w:type="character" w:customStyle="1" w:styleId="Ttulo7Car">
    <w:name w:val="Título 7 Car"/>
    <w:basedOn w:val="Fuentedeprrafopredeter"/>
    <w:link w:val="Ttulo7"/>
    <w:uiPriority w:val="9"/>
    <w:semiHidden/>
    <w:rsid w:val="007D2F46"/>
    <w:rPr>
      <w:rFonts w:asciiTheme="majorHAnsi" w:eastAsiaTheme="majorEastAsia" w:hAnsiTheme="majorHAnsi" w:cstheme="majorBidi"/>
      <w:i/>
      <w:iCs/>
      <w:color w:val="1F4D78" w:themeColor="accent1" w:themeShade="7F"/>
      <w:sz w:val="24"/>
      <w:lang w:val="es-ES_tradnl" w:eastAsia="es-ES"/>
    </w:rPr>
  </w:style>
  <w:style w:type="character" w:customStyle="1" w:styleId="Ttulo8Car">
    <w:name w:val="Título 8 Car"/>
    <w:basedOn w:val="Fuentedeprrafopredeter"/>
    <w:link w:val="Ttulo8"/>
    <w:uiPriority w:val="9"/>
    <w:semiHidden/>
    <w:rsid w:val="007D2F46"/>
    <w:rPr>
      <w:rFonts w:asciiTheme="majorHAnsi" w:eastAsiaTheme="majorEastAsia" w:hAnsiTheme="majorHAnsi" w:cstheme="majorBidi"/>
      <w:color w:val="272727" w:themeColor="text1" w:themeTint="D8"/>
      <w:sz w:val="21"/>
      <w:szCs w:val="21"/>
      <w:lang w:val="es-ES_tradnl" w:eastAsia="es-ES"/>
    </w:rPr>
  </w:style>
  <w:style w:type="character" w:customStyle="1" w:styleId="Ttulo9Car">
    <w:name w:val="Título 9 Car"/>
    <w:basedOn w:val="Fuentedeprrafopredeter"/>
    <w:link w:val="Ttulo9"/>
    <w:uiPriority w:val="9"/>
    <w:semiHidden/>
    <w:rsid w:val="007D2F46"/>
    <w:rPr>
      <w:rFonts w:asciiTheme="majorHAnsi" w:eastAsiaTheme="majorEastAsia" w:hAnsiTheme="majorHAnsi" w:cstheme="majorBidi"/>
      <w:i/>
      <w:iCs/>
      <w:color w:val="272727" w:themeColor="text1" w:themeTint="D8"/>
      <w:sz w:val="21"/>
      <w:szCs w:val="21"/>
      <w:lang w:val="es-ES_tradnl" w:eastAsia="es-ES"/>
    </w:rPr>
  </w:style>
  <w:style w:type="character" w:customStyle="1" w:styleId="f11">
    <w:name w:val="f11"/>
    <w:basedOn w:val="Fuentedeprrafopredeter"/>
    <w:rsid w:val="002C1733"/>
    <w:rPr>
      <w:rFonts w:ascii="Arial" w:hAnsi="Arial" w:cs="Arial" w:hint="default"/>
      <w:color w:val="000000"/>
      <w:sz w:val="30"/>
      <w:szCs w:val="30"/>
    </w:rPr>
  </w:style>
  <w:style w:type="paragraph" w:customStyle="1" w:styleId="Numeracin">
    <w:name w:val="Numeración"/>
    <w:basedOn w:val="Normal"/>
    <w:link w:val="NumeracinCar"/>
    <w:qFormat/>
    <w:rsid w:val="009D1522"/>
    <w:pPr>
      <w:ind w:firstLine="709"/>
    </w:pPr>
    <w:rPr>
      <w:szCs w:val="28"/>
      <w:lang w:val="es-ES"/>
    </w:rPr>
  </w:style>
  <w:style w:type="character" w:customStyle="1" w:styleId="NumeracinCar">
    <w:name w:val="Numeración Car"/>
    <w:basedOn w:val="Fuentedeprrafopredeter"/>
    <w:link w:val="Numeracin"/>
    <w:rsid w:val="009D1522"/>
    <w:rPr>
      <w:rFonts w:ascii="Bookman Old Style" w:eastAsia="Times New Roman" w:hAnsi="Bookman Old Style" w:cs="Arial"/>
      <w:sz w:val="28"/>
      <w:szCs w:val="2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6792618">
      <w:bodyDiv w:val="1"/>
      <w:marLeft w:val="0"/>
      <w:marRight w:val="0"/>
      <w:marTop w:val="0"/>
      <w:marBottom w:val="0"/>
      <w:divBdr>
        <w:top w:val="none" w:sz="0" w:space="0" w:color="auto"/>
        <w:left w:val="none" w:sz="0" w:space="0" w:color="auto"/>
        <w:bottom w:val="none" w:sz="0" w:space="0" w:color="auto"/>
        <w:right w:val="none" w:sz="0" w:space="0" w:color="auto"/>
      </w:divBdr>
    </w:div>
    <w:div w:id="363947667">
      <w:bodyDiv w:val="1"/>
      <w:marLeft w:val="0"/>
      <w:marRight w:val="0"/>
      <w:marTop w:val="0"/>
      <w:marBottom w:val="0"/>
      <w:divBdr>
        <w:top w:val="none" w:sz="0" w:space="0" w:color="auto"/>
        <w:left w:val="none" w:sz="0" w:space="0" w:color="auto"/>
        <w:bottom w:val="none" w:sz="0" w:space="0" w:color="auto"/>
        <w:right w:val="none" w:sz="0" w:space="0" w:color="auto"/>
      </w:divBdr>
      <w:divsChild>
        <w:div w:id="846989657">
          <w:marLeft w:val="0"/>
          <w:marRight w:val="0"/>
          <w:marTop w:val="0"/>
          <w:marBottom w:val="0"/>
          <w:divBdr>
            <w:top w:val="none" w:sz="0" w:space="0" w:color="auto"/>
            <w:left w:val="none" w:sz="0" w:space="0" w:color="auto"/>
            <w:bottom w:val="none" w:sz="0" w:space="0" w:color="auto"/>
            <w:right w:val="none" w:sz="0" w:space="0" w:color="auto"/>
          </w:divBdr>
        </w:div>
      </w:divsChild>
    </w:div>
    <w:div w:id="657534106">
      <w:bodyDiv w:val="1"/>
      <w:marLeft w:val="0"/>
      <w:marRight w:val="0"/>
      <w:marTop w:val="0"/>
      <w:marBottom w:val="0"/>
      <w:divBdr>
        <w:top w:val="none" w:sz="0" w:space="0" w:color="auto"/>
        <w:left w:val="none" w:sz="0" w:space="0" w:color="auto"/>
        <w:bottom w:val="none" w:sz="0" w:space="0" w:color="auto"/>
        <w:right w:val="none" w:sz="0" w:space="0" w:color="auto"/>
      </w:divBdr>
    </w:div>
    <w:div w:id="1020084623">
      <w:bodyDiv w:val="1"/>
      <w:marLeft w:val="0"/>
      <w:marRight w:val="0"/>
      <w:marTop w:val="0"/>
      <w:marBottom w:val="0"/>
      <w:divBdr>
        <w:top w:val="none" w:sz="0" w:space="0" w:color="auto"/>
        <w:left w:val="none" w:sz="0" w:space="0" w:color="auto"/>
        <w:bottom w:val="none" w:sz="0" w:space="0" w:color="auto"/>
        <w:right w:val="none" w:sz="0" w:space="0" w:color="auto"/>
      </w:divBdr>
    </w:div>
    <w:div w:id="1130781721">
      <w:bodyDiv w:val="1"/>
      <w:marLeft w:val="0"/>
      <w:marRight w:val="0"/>
      <w:marTop w:val="0"/>
      <w:marBottom w:val="0"/>
      <w:divBdr>
        <w:top w:val="none" w:sz="0" w:space="0" w:color="auto"/>
        <w:left w:val="none" w:sz="0" w:space="0" w:color="auto"/>
        <w:bottom w:val="none" w:sz="0" w:space="0" w:color="auto"/>
        <w:right w:val="none" w:sz="0" w:space="0" w:color="auto"/>
      </w:divBdr>
      <w:divsChild>
        <w:div w:id="1299141082">
          <w:marLeft w:val="0"/>
          <w:marRight w:val="0"/>
          <w:marTop w:val="0"/>
          <w:marBottom w:val="0"/>
          <w:divBdr>
            <w:top w:val="none" w:sz="0" w:space="0" w:color="auto"/>
            <w:left w:val="none" w:sz="0" w:space="0" w:color="auto"/>
            <w:bottom w:val="none" w:sz="0" w:space="0" w:color="auto"/>
            <w:right w:val="none" w:sz="0" w:space="0" w:color="auto"/>
          </w:divBdr>
        </w:div>
      </w:divsChild>
    </w:div>
    <w:div w:id="1279528305">
      <w:bodyDiv w:val="1"/>
      <w:marLeft w:val="0"/>
      <w:marRight w:val="0"/>
      <w:marTop w:val="0"/>
      <w:marBottom w:val="0"/>
      <w:divBdr>
        <w:top w:val="none" w:sz="0" w:space="0" w:color="auto"/>
        <w:left w:val="none" w:sz="0" w:space="0" w:color="auto"/>
        <w:bottom w:val="none" w:sz="0" w:space="0" w:color="auto"/>
        <w:right w:val="none" w:sz="0" w:space="0" w:color="auto"/>
      </w:divBdr>
    </w:div>
    <w:div w:id="2042313634">
      <w:bodyDiv w:val="1"/>
      <w:marLeft w:val="0"/>
      <w:marRight w:val="0"/>
      <w:marTop w:val="0"/>
      <w:marBottom w:val="0"/>
      <w:divBdr>
        <w:top w:val="none" w:sz="0" w:space="0" w:color="auto"/>
        <w:left w:val="none" w:sz="0" w:space="0" w:color="auto"/>
        <w:bottom w:val="none" w:sz="0" w:space="0" w:color="auto"/>
        <w:right w:val="none" w:sz="0" w:space="0" w:color="auto"/>
      </w:divBdr>
      <w:divsChild>
        <w:div w:id="692026944">
          <w:marLeft w:val="0"/>
          <w:marRight w:val="0"/>
          <w:marTop w:val="0"/>
          <w:marBottom w:val="0"/>
          <w:divBdr>
            <w:top w:val="none" w:sz="0" w:space="0" w:color="auto"/>
            <w:left w:val="none" w:sz="0" w:space="0" w:color="auto"/>
            <w:bottom w:val="none" w:sz="0" w:space="0" w:color="auto"/>
            <w:right w:val="none" w:sz="0" w:space="0" w:color="auto"/>
          </w:divBdr>
        </w:div>
      </w:divsChild>
    </w:div>
    <w:div w:id="2076316724">
      <w:bodyDiv w:val="1"/>
      <w:marLeft w:val="0"/>
      <w:marRight w:val="0"/>
      <w:marTop w:val="0"/>
      <w:marBottom w:val="0"/>
      <w:divBdr>
        <w:top w:val="none" w:sz="0" w:space="0" w:color="auto"/>
        <w:left w:val="none" w:sz="0" w:space="0" w:color="auto"/>
        <w:bottom w:val="none" w:sz="0" w:space="0" w:color="auto"/>
        <w:right w:val="none" w:sz="0" w:space="0" w:color="auto"/>
      </w:divBdr>
      <w:divsChild>
        <w:div w:id="13061628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Perfil\Documents\Plantillas%20personalizadas%20de%20Office\MODELO%20SENTENCIA%20MCB%20MAYO%202017.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3" Type="http://schemas.microsoft.com/office/2011/relationships/webextension" Target="webextension3.xml"/><Relationship Id="rId2" Type="http://schemas.microsoft.com/office/2011/relationships/webextension" Target="webextension2.xml"/><Relationship Id="rId1" Type="http://schemas.microsoft.com/office/2011/relationships/webextension" Target="webextension1.xml"/><Relationship Id="rId4" Type="http://schemas.microsoft.com/office/2011/relationships/webextension" Target="webextension4.xml"/></Relationships>
</file>

<file path=word/webextensions/taskpanes.xml><?xml version="1.0" encoding="utf-8"?>
<wetp:taskpanes xmlns:wetp="http://schemas.microsoft.com/office/webextensions/taskpanes/2010/11">
  <wetp:taskpane dockstate="right" visibility="0" width="525" row="2">
    <wetp:webextensionref xmlns:r="http://schemas.openxmlformats.org/officeDocument/2006/relationships" r:id="rId1"/>
  </wetp:taskpane>
  <wetp:taskpane dockstate="right" visibility="0" width="455" row="2">
    <wetp:webextensionref xmlns:r="http://schemas.openxmlformats.org/officeDocument/2006/relationships" r:id="rId2"/>
  </wetp:taskpane>
  <wetp:taskpane dockstate="right" visibility="0" width="455" row="3">
    <wetp:webextensionref xmlns:r="http://schemas.openxmlformats.org/officeDocument/2006/relationships" r:id="rId3"/>
  </wetp:taskpane>
  <wetp:taskpane dockstate="right" visibility="0" width="455" row="5">
    <wetp:webextensionref xmlns:r="http://schemas.openxmlformats.org/officeDocument/2006/relationships" r:id="rId4"/>
  </wetp:taskpane>
</wetp:taskpanes>
</file>

<file path=word/webextensions/webextension1.xml><?xml version="1.0" encoding="utf-8"?>
<we:webextension xmlns:we="http://schemas.microsoft.com/office/webextensions/webextension/2010/11" id="{101F01E5-9959-4678-BE74-72028203C134}">
  <we:reference id="wa102920439" version="1.3.1.0" store="es-AR"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D2A8DA96-4807-4200-92AE-A51F9C24AC83}">
  <we:reference id="wa104185327" version="1.1.0.0" store="es-ES" storeType="OMEX"/>
  <we:alternateReferences>
    <we:reference id="WA104185327" version="1.1.0.0" store="WA104185327" storeType="OMEX"/>
  </we:alternateReferences>
  <we:properties/>
  <we:bindings/>
  <we:snapshot xmlns:r="http://schemas.openxmlformats.org/officeDocument/2006/relationships"/>
</we:webextension>
</file>

<file path=word/webextensions/webextension3.xml><?xml version="1.0" encoding="utf-8"?>
<we:webextension xmlns:we="http://schemas.microsoft.com/office/webextensions/webextension/2010/11" id="{F72F4941-B5FD-4256-A294-5399078E6E08}">
  <we:reference id="wa104334910" version="1.0.0.0" store="es-ES" storeType="OMEX"/>
  <we:alternateReferences>
    <we:reference id="WA104334910" version="1.0.0.0" store="WA104334910" storeType="OMEX"/>
  </we:alternateReferences>
  <we:properties/>
  <we:bindings/>
  <we:snapshot xmlns:r="http://schemas.openxmlformats.org/officeDocument/2006/relationships"/>
</we:webextension>
</file>

<file path=word/webextensions/webextension4.xml><?xml version="1.0" encoding="utf-8"?>
<we:webextension xmlns:we="http://schemas.microsoft.com/office/webextensions/webextension/2010/11" id="{93FE03AF-3DA6-4B7D-BCEA-6E32DD100824}">
  <we:reference id="wa104021311" version="1.1.0.0" store="es-ES" storeType="OMEX"/>
  <we:alternateReferences>
    <we:reference id="WA104021311" version="1.1.0.0" store="WA10402131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7A6CC8-D3B9-4EDC-85B7-3E9145CE77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SENTENCIA MCB MAYO 2017</Template>
  <TotalTime>5</TotalTime>
  <Pages>42</Pages>
  <Words>8802</Words>
  <Characters>48413</Characters>
  <Application>Microsoft Office Word</Application>
  <DocSecurity>0</DocSecurity>
  <Lines>403</Lines>
  <Paragraphs>114</Paragraphs>
  <ScaleCrop>false</ScaleCrop>
  <HeadingPairs>
    <vt:vector size="2" baseType="variant">
      <vt:variant>
        <vt:lpstr>Título</vt:lpstr>
      </vt:variant>
      <vt:variant>
        <vt:i4>1</vt:i4>
      </vt:variant>
    </vt:vector>
  </HeadingPairs>
  <TitlesOfParts>
    <vt:vector size="1" baseType="lpstr">
      <vt:lpstr/>
    </vt:vector>
  </TitlesOfParts>
  <Company>CSJ</Company>
  <LinksUpToDate>false</LinksUpToDate>
  <CharactersWithSpaces>57101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Dr.Antonio Emiro Thomas Arias</dc:creator>
  <cp:lastModifiedBy>Lizeth Castillo Ching</cp:lastModifiedBy>
  <cp:revision>8</cp:revision>
  <cp:lastPrinted>2018-07-17T20:05:00Z</cp:lastPrinted>
  <dcterms:created xsi:type="dcterms:W3CDTF">2018-05-25T12:28:00Z</dcterms:created>
  <dcterms:modified xsi:type="dcterms:W3CDTF">2018-07-17T20:07:00Z</dcterms:modified>
</cp:coreProperties>
</file>