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7C6A" w:rsidRPr="004836F6" w:rsidRDefault="00ED7C6A" w:rsidP="00CB7766">
      <w:pPr>
        <w:pStyle w:val="Ttulo1"/>
        <w:spacing w:line="336" w:lineRule="auto"/>
        <w:rPr>
          <w:rFonts w:ascii="Bookman Old Style" w:hAnsi="Bookman Old Style"/>
          <w:b/>
          <w:i w:val="0"/>
          <w:sz w:val="27"/>
          <w:szCs w:val="27"/>
        </w:rPr>
      </w:pPr>
      <w:r w:rsidRPr="004836F6">
        <w:rPr>
          <w:rFonts w:ascii="Bookman Old Style" w:hAnsi="Bookman Old Style"/>
          <w:b/>
          <w:i w:val="0"/>
          <w:sz w:val="27"/>
          <w:szCs w:val="27"/>
          <w:lang w:val="pt-BR"/>
        </w:rPr>
        <w:t>PATRICIA SALAZAR CUÉLLAR</w:t>
      </w:r>
    </w:p>
    <w:p w:rsidR="00ED7C6A" w:rsidRPr="004836F6" w:rsidRDefault="00ED7C6A" w:rsidP="00CB7766">
      <w:pPr>
        <w:pStyle w:val="Ttulo1"/>
        <w:spacing w:line="336" w:lineRule="auto"/>
        <w:rPr>
          <w:rFonts w:ascii="Bookman Old Style" w:hAnsi="Bookman Old Style"/>
          <w:b/>
          <w:i w:val="0"/>
          <w:sz w:val="27"/>
          <w:szCs w:val="27"/>
          <w:lang w:val="es-CO"/>
        </w:rPr>
      </w:pPr>
      <w:r w:rsidRPr="004836F6">
        <w:rPr>
          <w:rFonts w:ascii="Bookman Old Style" w:hAnsi="Bookman Old Style"/>
          <w:b/>
          <w:i w:val="0"/>
          <w:sz w:val="27"/>
          <w:szCs w:val="27"/>
        </w:rPr>
        <w:t>Magistrada Ponente</w:t>
      </w:r>
    </w:p>
    <w:p w:rsidR="00ED7C6A" w:rsidRPr="004836F6" w:rsidRDefault="00ED7C6A" w:rsidP="00CB7766">
      <w:pPr>
        <w:pStyle w:val="Ttulo1"/>
        <w:spacing w:line="336" w:lineRule="auto"/>
        <w:rPr>
          <w:rFonts w:ascii="Bookman Old Style" w:hAnsi="Bookman Old Style"/>
          <w:b/>
          <w:sz w:val="27"/>
          <w:szCs w:val="27"/>
          <w:lang w:val="es-CO"/>
        </w:rPr>
      </w:pPr>
    </w:p>
    <w:p w:rsidR="00ED7C6A" w:rsidRPr="004836F6" w:rsidRDefault="00ED7C6A" w:rsidP="00CB7766">
      <w:pPr>
        <w:pStyle w:val="Ttulo1"/>
        <w:spacing w:line="336" w:lineRule="auto"/>
        <w:rPr>
          <w:rFonts w:ascii="Bookman Old Style" w:hAnsi="Bookman Old Style"/>
          <w:b/>
          <w:sz w:val="27"/>
          <w:szCs w:val="27"/>
          <w:lang w:val="es-CO"/>
        </w:rPr>
      </w:pPr>
    </w:p>
    <w:p w:rsidR="00ED7C6A" w:rsidRPr="004836F6" w:rsidRDefault="00FA56C6" w:rsidP="00CB7766">
      <w:pPr>
        <w:pStyle w:val="Ttulo1"/>
        <w:spacing w:line="336" w:lineRule="auto"/>
        <w:rPr>
          <w:rFonts w:ascii="Bookman Old Style" w:hAnsi="Bookman Old Style"/>
          <w:b/>
          <w:i w:val="0"/>
          <w:sz w:val="27"/>
          <w:szCs w:val="27"/>
          <w:lang w:val="es-CO"/>
        </w:rPr>
      </w:pPr>
      <w:r w:rsidRPr="00FA56C6">
        <w:rPr>
          <w:rFonts w:ascii="Bookman Old Style" w:hAnsi="Bookman Old Style"/>
          <w:b/>
          <w:i w:val="0"/>
          <w:sz w:val="27"/>
          <w:szCs w:val="27"/>
          <w:lang w:val="es-CO"/>
        </w:rPr>
        <w:t>STP16906-2017</w:t>
      </w:r>
    </w:p>
    <w:p w:rsidR="00ED7C6A" w:rsidRPr="004836F6" w:rsidRDefault="003C40BB" w:rsidP="00CB7766">
      <w:pPr>
        <w:pStyle w:val="Ttulo1"/>
        <w:spacing w:line="336" w:lineRule="auto"/>
        <w:rPr>
          <w:rFonts w:ascii="Bookman Old Style" w:hAnsi="Bookman Old Style"/>
          <w:b/>
          <w:i w:val="0"/>
          <w:sz w:val="27"/>
          <w:szCs w:val="27"/>
          <w:lang w:val="es-CO"/>
        </w:rPr>
      </w:pPr>
      <w:r w:rsidRPr="004836F6">
        <w:rPr>
          <w:rFonts w:ascii="Bookman Old Style" w:hAnsi="Bookman Old Style"/>
          <w:b/>
          <w:i w:val="0"/>
          <w:sz w:val="27"/>
          <w:szCs w:val="27"/>
          <w:lang w:val="es-CO"/>
        </w:rPr>
        <w:t>Radicación Nº</w:t>
      </w:r>
      <w:r w:rsidR="00ED7C6A" w:rsidRPr="004836F6">
        <w:rPr>
          <w:rFonts w:ascii="Bookman Old Style" w:hAnsi="Bookman Old Style"/>
          <w:b/>
          <w:i w:val="0"/>
          <w:sz w:val="27"/>
          <w:szCs w:val="27"/>
          <w:lang w:val="es-CO"/>
        </w:rPr>
        <w:t xml:space="preserve"> </w:t>
      </w:r>
      <w:r w:rsidR="00BB5FCB" w:rsidRPr="004836F6">
        <w:rPr>
          <w:rFonts w:ascii="Bookman Old Style" w:hAnsi="Bookman Old Style"/>
          <w:b/>
          <w:i w:val="0"/>
          <w:sz w:val="27"/>
          <w:szCs w:val="27"/>
          <w:lang w:val="es-CO"/>
        </w:rPr>
        <w:t>94</w:t>
      </w:r>
      <w:r w:rsidRPr="004836F6">
        <w:rPr>
          <w:rFonts w:ascii="Bookman Old Style" w:hAnsi="Bookman Old Style"/>
          <w:b/>
          <w:i w:val="0"/>
          <w:sz w:val="27"/>
          <w:szCs w:val="27"/>
          <w:lang w:val="es-CO"/>
        </w:rPr>
        <w:t>.</w:t>
      </w:r>
      <w:r w:rsidR="00BB5FCB" w:rsidRPr="004836F6">
        <w:rPr>
          <w:rFonts w:ascii="Bookman Old Style" w:hAnsi="Bookman Old Style"/>
          <w:b/>
          <w:i w:val="0"/>
          <w:sz w:val="27"/>
          <w:szCs w:val="27"/>
          <w:lang w:val="es-CO"/>
        </w:rPr>
        <w:t>564</w:t>
      </w:r>
    </w:p>
    <w:p w:rsidR="00ED7C6A" w:rsidRPr="00FA56C6" w:rsidRDefault="00ED7C6A" w:rsidP="00CB7766">
      <w:pPr>
        <w:pStyle w:val="Ttulo1"/>
        <w:spacing w:line="336" w:lineRule="auto"/>
        <w:rPr>
          <w:rFonts w:ascii="Bookman Old Style" w:hAnsi="Bookman Old Style"/>
          <w:i w:val="0"/>
          <w:sz w:val="27"/>
          <w:szCs w:val="27"/>
          <w:lang w:val="es-CO"/>
        </w:rPr>
      </w:pPr>
      <w:r w:rsidRPr="004836F6">
        <w:rPr>
          <w:rFonts w:ascii="Bookman Old Style" w:hAnsi="Bookman Old Style"/>
          <w:i w:val="0"/>
          <w:sz w:val="27"/>
          <w:szCs w:val="27"/>
          <w:lang w:val="es-CO"/>
        </w:rPr>
        <w:t>Acta</w:t>
      </w:r>
      <w:r w:rsidR="003C40BB" w:rsidRPr="004836F6">
        <w:rPr>
          <w:rFonts w:ascii="Bookman Old Style" w:hAnsi="Bookman Old Style"/>
          <w:i w:val="0"/>
          <w:sz w:val="27"/>
          <w:szCs w:val="27"/>
        </w:rPr>
        <w:t xml:space="preserve"> Nº</w:t>
      </w:r>
      <w:r w:rsidRPr="004836F6">
        <w:rPr>
          <w:rFonts w:ascii="Bookman Old Style" w:hAnsi="Bookman Old Style"/>
          <w:i w:val="0"/>
          <w:sz w:val="27"/>
          <w:szCs w:val="27"/>
        </w:rPr>
        <w:t xml:space="preserve"> </w:t>
      </w:r>
      <w:r w:rsidR="00FA56C6">
        <w:rPr>
          <w:rFonts w:ascii="Bookman Old Style" w:hAnsi="Bookman Old Style"/>
          <w:i w:val="0"/>
          <w:sz w:val="27"/>
          <w:szCs w:val="27"/>
          <w:lang w:val="es-CO"/>
        </w:rPr>
        <w:t>352</w:t>
      </w:r>
    </w:p>
    <w:p w:rsidR="00ED7C6A" w:rsidRPr="004836F6" w:rsidRDefault="00ED7C6A" w:rsidP="00CB7766">
      <w:pPr>
        <w:spacing w:after="0" w:line="336" w:lineRule="auto"/>
        <w:jc w:val="center"/>
        <w:rPr>
          <w:rFonts w:ascii="Bookman Old Style" w:hAnsi="Bookman Old Style"/>
          <w:sz w:val="27"/>
          <w:szCs w:val="27"/>
        </w:rPr>
      </w:pPr>
    </w:p>
    <w:p w:rsidR="00ED7C6A" w:rsidRPr="004836F6" w:rsidRDefault="00ED7C6A" w:rsidP="00CB7766">
      <w:pPr>
        <w:spacing w:after="0" w:line="336" w:lineRule="auto"/>
        <w:ind w:firstLine="708"/>
        <w:jc w:val="both"/>
        <w:rPr>
          <w:rFonts w:ascii="Bookman Old Style" w:hAnsi="Bookman Old Style"/>
          <w:sz w:val="27"/>
          <w:szCs w:val="27"/>
        </w:rPr>
      </w:pPr>
      <w:r w:rsidRPr="004836F6">
        <w:rPr>
          <w:rFonts w:ascii="Bookman Old Style" w:hAnsi="Bookman Old Style"/>
          <w:sz w:val="27"/>
          <w:szCs w:val="27"/>
        </w:rPr>
        <w:t xml:space="preserve">Bogotá D. C., </w:t>
      </w:r>
      <w:r w:rsidR="00FA56C6">
        <w:rPr>
          <w:rFonts w:ascii="Bookman Old Style" w:hAnsi="Bookman Old Style"/>
          <w:sz w:val="27"/>
          <w:szCs w:val="27"/>
        </w:rPr>
        <w:t xml:space="preserve">dieciocho (18) </w:t>
      </w:r>
      <w:r w:rsidRPr="004836F6">
        <w:rPr>
          <w:rFonts w:ascii="Bookman Old Style" w:hAnsi="Bookman Old Style"/>
          <w:sz w:val="27"/>
          <w:szCs w:val="27"/>
        </w:rPr>
        <w:t xml:space="preserve">de </w:t>
      </w:r>
      <w:r w:rsidR="00BB5FCB" w:rsidRPr="004836F6">
        <w:rPr>
          <w:rFonts w:ascii="Bookman Old Style" w:hAnsi="Bookman Old Style"/>
          <w:sz w:val="27"/>
          <w:szCs w:val="27"/>
        </w:rPr>
        <w:t xml:space="preserve">octubre </w:t>
      </w:r>
      <w:r w:rsidRPr="004836F6">
        <w:rPr>
          <w:rFonts w:ascii="Bookman Old Style" w:hAnsi="Bookman Old Style"/>
          <w:sz w:val="27"/>
          <w:szCs w:val="27"/>
        </w:rPr>
        <w:t xml:space="preserve">de dos mil diecisiete </w:t>
      </w:r>
    </w:p>
    <w:p w:rsidR="00ED7C6A" w:rsidRPr="004836F6" w:rsidRDefault="00ED7C6A" w:rsidP="00CB7766">
      <w:pPr>
        <w:spacing w:after="0" w:line="336" w:lineRule="auto"/>
        <w:rPr>
          <w:rFonts w:ascii="Bookman Old Style" w:hAnsi="Bookman Old Style"/>
          <w:sz w:val="27"/>
          <w:szCs w:val="27"/>
        </w:rPr>
      </w:pPr>
    </w:p>
    <w:p w:rsidR="00ED7C6A" w:rsidRPr="004836F6" w:rsidRDefault="00ED7C6A" w:rsidP="00CB7766">
      <w:pPr>
        <w:spacing w:after="0" w:line="336" w:lineRule="auto"/>
        <w:rPr>
          <w:rFonts w:ascii="Bookman Old Style" w:hAnsi="Bookman Old Style"/>
          <w:sz w:val="27"/>
          <w:szCs w:val="27"/>
        </w:rPr>
      </w:pPr>
    </w:p>
    <w:p w:rsidR="00ED7C6A" w:rsidRPr="004836F6" w:rsidRDefault="00ED7C6A" w:rsidP="00CB7766">
      <w:pPr>
        <w:spacing w:after="0" w:line="336" w:lineRule="auto"/>
        <w:jc w:val="center"/>
        <w:rPr>
          <w:rFonts w:ascii="Bookman Old Style" w:hAnsi="Bookman Old Style"/>
          <w:b/>
          <w:sz w:val="27"/>
          <w:szCs w:val="27"/>
        </w:rPr>
      </w:pPr>
      <w:r w:rsidRPr="004836F6">
        <w:rPr>
          <w:rFonts w:ascii="Bookman Old Style" w:hAnsi="Bookman Old Style"/>
          <w:b/>
          <w:sz w:val="27"/>
          <w:szCs w:val="27"/>
        </w:rPr>
        <w:t>VISTOS</w:t>
      </w:r>
    </w:p>
    <w:p w:rsidR="00ED7C6A" w:rsidRPr="004836F6" w:rsidRDefault="00ED7C6A" w:rsidP="00CB7766">
      <w:pPr>
        <w:spacing w:after="0" w:line="336" w:lineRule="auto"/>
        <w:rPr>
          <w:rFonts w:ascii="Bookman Old Style" w:hAnsi="Bookman Old Style"/>
          <w:sz w:val="27"/>
          <w:szCs w:val="27"/>
        </w:rPr>
      </w:pPr>
    </w:p>
    <w:p w:rsidR="00B44C86" w:rsidRPr="004836F6" w:rsidRDefault="003C40BB" w:rsidP="00CB7766">
      <w:pPr>
        <w:spacing w:after="0" w:line="336" w:lineRule="auto"/>
        <w:ind w:firstLine="709"/>
        <w:jc w:val="both"/>
        <w:rPr>
          <w:rFonts w:ascii="Bookman Old Style" w:hAnsi="Bookman Old Style"/>
          <w:sz w:val="27"/>
          <w:szCs w:val="27"/>
        </w:rPr>
      </w:pPr>
      <w:r w:rsidRPr="004836F6">
        <w:rPr>
          <w:rFonts w:ascii="Bookman Old Style" w:hAnsi="Bookman Old Style"/>
          <w:sz w:val="27"/>
          <w:szCs w:val="27"/>
        </w:rPr>
        <w:t>Resuelve</w:t>
      </w:r>
      <w:r w:rsidR="00B44C86" w:rsidRPr="004836F6">
        <w:rPr>
          <w:rFonts w:ascii="Bookman Old Style" w:hAnsi="Bookman Old Style"/>
          <w:sz w:val="27"/>
          <w:szCs w:val="27"/>
        </w:rPr>
        <w:t xml:space="preserve"> la Sala </w:t>
      </w:r>
      <w:r w:rsidRPr="004836F6">
        <w:rPr>
          <w:rFonts w:ascii="Bookman Old Style" w:hAnsi="Bookman Old Style"/>
          <w:sz w:val="27"/>
          <w:szCs w:val="27"/>
        </w:rPr>
        <w:t xml:space="preserve">la acción de </w:t>
      </w:r>
      <w:r w:rsidR="0029797F" w:rsidRPr="004836F6">
        <w:rPr>
          <w:rFonts w:ascii="Bookman Old Style" w:hAnsi="Bookman Old Style"/>
          <w:sz w:val="27"/>
          <w:szCs w:val="27"/>
        </w:rPr>
        <w:t>tutela formulada por</w:t>
      </w:r>
      <w:r w:rsidR="00B44C86" w:rsidRPr="004836F6">
        <w:rPr>
          <w:rFonts w:ascii="Bookman Old Style" w:hAnsi="Bookman Old Style"/>
          <w:sz w:val="27"/>
          <w:szCs w:val="27"/>
        </w:rPr>
        <w:t xml:space="preserve"> </w:t>
      </w:r>
      <w:r w:rsidR="00BB5FCB" w:rsidRPr="004836F6">
        <w:rPr>
          <w:rFonts w:ascii="Bookman Old Style" w:hAnsi="Bookman Old Style"/>
          <w:sz w:val="27"/>
          <w:szCs w:val="27"/>
        </w:rPr>
        <w:t>SANTIAGO URIBE VÉLEZ</w:t>
      </w:r>
      <w:r w:rsidRPr="004836F6">
        <w:rPr>
          <w:rFonts w:ascii="Bookman Old Style" w:hAnsi="Bookman Old Style"/>
          <w:sz w:val="27"/>
          <w:szCs w:val="27"/>
        </w:rPr>
        <w:t>,</w:t>
      </w:r>
      <w:r w:rsidR="00023E6F" w:rsidRPr="004836F6">
        <w:rPr>
          <w:rFonts w:ascii="Bookman Old Style" w:hAnsi="Bookman Old Style"/>
          <w:sz w:val="27"/>
          <w:szCs w:val="27"/>
        </w:rPr>
        <w:t xml:space="preserve"> mediante apoderado judicial</w:t>
      </w:r>
      <w:r w:rsidR="00B44C86" w:rsidRPr="004836F6">
        <w:rPr>
          <w:rFonts w:ascii="Bookman Old Style" w:hAnsi="Bookman Old Style"/>
          <w:sz w:val="27"/>
          <w:szCs w:val="27"/>
        </w:rPr>
        <w:t xml:space="preserve">, contra </w:t>
      </w:r>
      <w:r w:rsidR="00BB5FCB" w:rsidRPr="004836F6">
        <w:rPr>
          <w:rFonts w:ascii="Bookman Old Style" w:hAnsi="Bookman Old Style"/>
          <w:sz w:val="27"/>
          <w:szCs w:val="27"/>
        </w:rPr>
        <w:t>la</w:t>
      </w:r>
      <w:r w:rsidR="00023E6F" w:rsidRPr="004836F6">
        <w:rPr>
          <w:rFonts w:ascii="Bookman Old Style" w:hAnsi="Bookman Old Style"/>
          <w:sz w:val="27"/>
          <w:szCs w:val="27"/>
        </w:rPr>
        <w:t xml:space="preserve"> </w:t>
      </w:r>
      <w:r w:rsidR="00BB5FCB" w:rsidRPr="004836F6">
        <w:rPr>
          <w:rFonts w:ascii="Bookman Old Style" w:hAnsi="Bookman Old Style"/>
          <w:sz w:val="27"/>
          <w:szCs w:val="27"/>
        </w:rPr>
        <w:t xml:space="preserve">SALA PENAL DEL </w:t>
      </w:r>
      <w:r w:rsidR="00B44C86" w:rsidRPr="004836F6">
        <w:rPr>
          <w:rFonts w:ascii="Bookman Old Style" w:hAnsi="Bookman Old Style"/>
          <w:sz w:val="27"/>
          <w:szCs w:val="27"/>
        </w:rPr>
        <w:t xml:space="preserve">TRIBUNAL SUPERIOR </w:t>
      </w:r>
      <w:r w:rsidR="00BB5FCB" w:rsidRPr="004836F6">
        <w:rPr>
          <w:rFonts w:ascii="Bookman Old Style" w:hAnsi="Bookman Old Style"/>
          <w:sz w:val="27"/>
          <w:szCs w:val="27"/>
        </w:rPr>
        <w:t xml:space="preserve">y el JUZGADO </w:t>
      </w:r>
      <w:r w:rsidRPr="004836F6">
        <w:rPr>
          <w:rFonts w:ascii="Bookman Old Style" w:hAnsi="Bookman Old Style"/>
          <w:sz w:val="27"/>
          <w:szCs w:val="27"/>
        </w:rPr>
        <w:t>1º</w:t>
      </w:r>
      <w:r w:rsidR="00BB5FCB" w:rsidRPr="004836F6">
        <w:rPr>
          <w:rFonts w:ascii="Bookman Old Style" w:hAnsi="Bookman Old Style"/>
          <w:sz w:val="27"/>
          <w:szCs w:val="27"/>
        </w:rPr>
        <w:t xml:space="preserve"> PENAL DEL CIRCUITO ESPECIALIZADO, ambos de Antioquia</w:t>
      </w:r>
      <w:r w:rsidR="0029797F" w:rsidRPr="004836F6">
        <w:rPr>
          <w:rFonts w:ascii="Bookman Old Style" w:hAnsi="Bookman Old Style"/>
          <w:sz w:val="27"/>
          <w:szCs w:val="27"/>
        </w:rPr>
        <w:t xml:space="preserve">, por la </w:t>
      </w:r>
      <w:r w:rsidRPr="004836F6">
        <w:rPr>
          <w:rFonts w:ascii="Bookman Old Style" w:hAnsi="Bookman Old Style"/>
          <w:sz w:val="27"/>
          <w:szCs w:val="27"/>
        </w:rPr>
        <w:t>supuesta</w:t>
      </w:r>
      <w:r w:rsidR="0029797F" w:rsidRPr="004836F6">
        <w:rPr>
          <w:rFonts w:ascii="Bookman Old Style" w:hAnsi="Bookman Old Style"/>
          <w:sz w:val="27"/>
          <w:szCs w:val="27"/>
        </w:rPr>
        <w:t xml:space="preserve"> vulneración de sus derechos fundamentales</w:t>
      </w:r>
      <w:r w:rsidRPr="004836F6">
        <w:rPr>
          <w:rFonts w:ascii="Bookman Old Style" w:hAnsi="Bookman Old Style"/>
          <w:sz w:val="27"/>
          <w:szCs w:val="27"/>
        </w:rPr>
        <w:t xml:space="preserve"> al debido proceso y a la libertad personal. </w:t>
      </w:r>
    </w:p>
    <w:p w:rsidR="00CB7766" w:rsidRPr="004836F6" w:rsidRDefault="00CB7766" w:rsidP="00CB7766">
      <w:pPr>
        <w:spacing w:after="0" w:line="336" w:lineRule="auto"/>
        <w:ind w:firstLine="709"/>
        <w:jc w:val="both"/>
        <w:rPr>
          <w:rFonts w:ascii="Bookman Old Style" w:hAnsi="Bookman Old Style"/>
          <w:sz w:val="27"/>
          <w:szCs w:val="27"/>
        </w:rPr>
      </w:pPr>
    </w:p>
    <w:p w:rsidR="00DD791B" w:rsidRPr="004836F6" w:rsidRDefault="00DD791B" w:rsidP="00CB7766">
      <w:pPr>
        <w:pStyle w:val="Ttulo1"/>
        <w:spacing w:line="336" w:lineRule="auto"/>
        <w:rPr>
          <w:rFonts w:ascii="Bookman Old Style" w:hAnsi="Bookman Old Style"/>
          <w:b/>
          <w:i w:val="0"/>
          <w:sz w:val="27"/>
          <w:szCs w:val="27"/>
        </w:rPr>
      </w:pPr>
      <w:r w:rsidRPr="004836F6">
        <w:rPr>
          <w:rFonts w:ascii="Bookman Old Style" w:hAnsi="Bookman Old Style"/>
          <w:b/>
          <w:i w:val="0"/>
          <w:sz w:val="27"/>
          <w:szCs w:val="27"/>
        </w:rPr>
        <w:t xml:space="preserve">ANTECEDENTES  </w:t>
      </w:r>
    </w:p>
    <w:p w:rsidR="00DD791B" w:rsidRPr="004836F6" w:rsidRDefault="00DD791B" w:rsidP="00CB7766">
      <w:pPr>
        <w:tabs>
          <w:tab w:val="left" w:pos="567"/>
        </w:tabs>
        <w:spacing w:after="0" w:line="336" w:lineRule="auto"/>
        <w:ind w:right="51"/>
        <w:rPr>
          <w:rFonts w:ascii="Bookman Old Style" w:hAnsi="Bookman Old Style"/>
          <w:sz w:val="27"/>
          <w:szCs w:val="27"/>
        </w:rPr>
      </w:pPr>
    </w:p>
    <w:p w:rsidR="00FD3045" w:rsidRPr="004836F6" w:rsidRDefault="002B0EAD" w:rsidP="00CB7766">
      <w:pPr>
        <w:tabs>
          <w:tab w:val="left" w:pos="709"/>
        </w:tabs>
        <w:spacing w:after="0" w:line="336" w:lineRule="auto"/>
        <w:ind w:right="51"/>
        <w:jc w:val="both"/>
        <w:rPr>
          <w:rFonts w:ascii="Bookman Old Style" w:hAnsi="Bookman Old Style"/>
          <w:sz w:val="27"/>
          <w:szCs w:val="27"/>
        </w:rPr>
      </w:pPr>
      <w:r w:rsidRPr="004836F6">
        <w:rPr>
          <w:rFonts w:ascii="Bookman Old Style" w:hAnsi="Bookman Old Style"/>
          <w:sz w:val="27"/>
          <w:szCs w:val="27"/>
        </w:rPr>
        <w:tab/>
      </w:r>
      <w:r w:rsidR="0007448A" w:rsidRPr="004836F6">
        <w:rPr>
          <w:rFonts w:ascii="Bookman Old Style" w:hAnsi="Bookman Old Style"/>
          <w:sz w:val="27"/>
          <w:szCs w:val="27"/>
        </w:rPr>
        <w:t>1.</w:t>
      </w:r>
      <w:r w:rsidR="003C40BB" w:rsidRPr="004836F6">
        <w:rPr>
          <w:rFonts w:ascii="Bookman Old Style" w:hAnsi="Bookman Old Style"/>
          <w:sz w:val="27"/>
          <w:szCs w:val="27"/>
        </w:rPr>
        <w:t xml:space="preserve"> </w:t>
      </w:r>
      <w:r w:rsidR="00CB7766" w:rsidRPr="004836F6">
        <w:rPr>
          <w:rFonts w:ascii="Bookman Old Style" w:hAnsi="Bookman Old Style"/>
          <w:sz w:val="27"/>
          <w:szCs w:val="27"/>
        </w:rPr>
        <w:t xml:space="preserve">En el marco de la investigación penal radicada con el Nº 13.799-10, </w:t>
      </w:r>
      <w:r w:rsidR="0007448A" w:rsidRPr="004836F6">
        <w:rPr>
          <w:rFonts w:ascii="Bookman Old Style" w:hAnsi="Bookman Old Style"/>
          <w:sz w:val="27"/>
          <w:szCs w:val="27"/>
        </w:rPr>
        <w:t xml:space="preserve">la Fiscalía 10ª Delegada ante la </w:t>
      </w:r>
      <w:r w:rsidR="003C40BB" w:rsidRPr="004836F6">
        <w:rPr>
          <w:rFonts w:ascii="Bookman Old Style" w:hAnsi="Bookman Old Style"/>
          <w:sz w:val="27"/>
          <w:szCs w:val="27"/>
        </w:rPr>
        <w:t>C</w:t>
      </w:r>
      <w:r w:rsidR="0007448A" w:rsidRPr="004836F6">
        <w:rPr>
          <w:rFonts w:ascii="Bookman Old Style" w:hAnsi="Bookman Old Style"/>
          <w:sz w:val="27"/>
          <w:szCs w:val="27"/>
        </w:rPr>
        <w:t>orte Suprema de Justicia</w:t>
      </w:r>
      <w:r w:rsidR="00CB7766" w:rsidRPr="004836F6">
        <w:rPr>
          <w:rFonts w:ascii="Bookman Old Style" w:hAnsi="Bookman Old Style"/>
          <w:sz w:val="27"/>
          <w:szCs w:val="27"/>
        </w:rPr>
        <w:t xml:space="preserve">, mediante auto del 29 de febrero de 2016, </w:t>
      </w:r>
      <w:r w:rsidR="0007448A" w:rsidRPr="004836F6">
        <w:rPr>
          <w:rFonts w:ascii="Bookman Old Style" w:hAnsi="Bookman Old Style"/>
          <w:sz w:val="27"/>
          <w:szCs w:val="27"/>
        </w:rPr>
        <w:t xml:space="preserve">resolvió la situación jurídica de SANTIAGO URIBE VÉLEZ.  </w:t>
      </w:r>
      <w:r w:rsidR="004F2D72" w:rsidRPr="004836F6">
        <w:rPr>
          <w:rFonts w:ascii="Bookman Old Style" w:hAnsi="Bookman Old Style"/>
          <w:sz w:val="27"/>
          <w:szCs w:val="27"/>
        </w:rPr>
        <w:t>Determinó</w:t>
      </w:r>
      <w:r w:rsidR="00CB7766" w:rsidRPr="004836F6">
        <w:rPr>
          <w:rFonts w:ascii="Bookman Old Style" w:hAnsi="Bookman Old Style"/>
          <w:sz w:val="27"/>
          <w:szCs w:val="27"/>
        </w:rPr>
        <w:t xml:space="preserve"> </w:t>
      </w:r>
      <w:r w:rsidR="0007448A" w:rsidRPr="004836F6">
        <w:rPr>
          <w:rFonts w:ascii="Bookman Old Style" w:hAnsi="Bookman Old Style"/>
          <w:sz w:val="27"/>
          <w:szCs w:val="27"/>
        </w:rPr>
        <w:t xml:space="preserve">imponerle medida de aseguramiento en establecimiento </w:t>
      </w:r>
      <w:r w:rsidR="0007448A" w:rsidRPr="004836F6">
        <w:rPr>
          <w:rFonts w:ascii="Bookman Old Style" w:hAnsi="Bookman Old Style"/>
          <w:sz w:val="27"/>
          <w:szCs w:val="27"/>
        </w:rPr>
        <w:lastRenderedPageBreak/>
        <w:t xml:space="preserve">carcelario por la </w:t>
      </w:r>
      <w:r w:rsidR="00CB7766" w:rsidRPr="004836F6">
        <w:rPr>
          <w:rFonts w:ascii="Bookman Old Style" w:hAnsi="Bookman Old Style"/>
          <w:sz w:val="27"/>
          <w:szCs w:val="27"/>
        </w:rPr>
        <w:t xml:space="preserve">posible </w:t>
      </w:r>
      <w:r w:rsidR="0007448A" w:rsidRPr="004836F6">
        <w:rPr>
          <w:rFonts w:ascii="Bookman Old Style" w:hAnsi="Bookman Old Style"/>
          <w:sz w:val="27"/>
          <w:szCs w:val="27"/>
        </w:rPr>
        <w:t xml:space="preserve">comisión de los delitos de </w:t>
      </w:r>
      <w:r w:rsidR="0007448A" w:rsidRPr="004836F6">
        <w:rPr>
          <w:rFonts w:ascii="Bookman Old Style" w:hAnsi="Bookman Old Style"/>
          <w:i/>
          <w:sz w:val="27"/>
          <w:szCs w:val="27"/>
        </w:rPr>
        <w:t xml:space="preserve">homicidio agravado </w:t>
      </w:r>
      <w:r w:rsidR="0007448A" w:rsidRPr="004836F6">
        <w:rPr>
          <w:rFonts w:ascii="Bookman Old Style" w:hAnsi="Bookman Old Style"/>
          <w:sz w:val="27"/>
          <w:szCs w:val="27"/>
        </w:rPr>
        <w:t xml:space="preserve">y </w:t>
      </w:r>
      <w:r w:rsidR="0007448A" w:rsidRPr="004836F6">
        <w:rPr>
          <w:rFonts w:ascii="Bookman Old Style" w:hAnsi="Bookman Old Style"/>
          <w:i/>
          <w:sz w:val="27"/>
          <w:szCs w:val="27"/>
        </w:rPr>
        <w:t>concierto para delinquir agravado</w:t>
      </w:r>
      <w:r w:rsidR="0007448A" w:rsidRPr="004836F6">
        <w:rPr>
          <w:rFonts w:ascii="Bookman Old Style" w:hAnsi="Bookman Old Style"/>
          <w:sz w:val="27"/>
          <w:szCs w:val="27"/>
        </w:rPr>
        <w:t>.</w:t>
      </w:r>
    </w:p>
    <w:p w:rsidR="0007448A" w:rsidRPr="004836F6" w:rsidRDefault="0007448A" w:rsidP="00CB7766">
      <w:pPr>
        <w:tabs>
          <w:tab w:val="left" w:pos="709"/>
        </w:tabs>
        <w:spacing w:after="0" w:line="336" w:lineRule="auto"/>
        <w:ind w:right="51"/>
        <w:jc w:val="both"/>
        <w:rPr>
          <w:rFonts w:ascii="Bookman Old Style" w:hAnsi="Bookman Old Style"/>
          <w:sz w:val="27"/>
          <w:szCs w:val="27"/>
        </w:rPr>
      </w:pPr>
    </w:p>
    <w:p w:rsidR="0007448A" w:rsidRPr="004836F6" w:rsidRDefault="0007448A" w:rsidP="00CB7766">
      <w:pPr>
        <w:tabs>
          <w:tab w:val="left" w:pos="709"/>
        </w:tabs>
        <w:spacing w:after="0" w:line="336" w:lineRule="auto"/>
        <w:ind w:right="51"/>
        <w:jc w:val="both"/>
        <w:rPr>
          <w:rFonts w:ascii="Bookman Old Style" w:hAnsi="Bookman Old Style"/>
          <w:sz w:val="27"/>
          <w:szCs w:val="27"/>
        </w:rPr>
      </w:pPr>
      <w:r w:rsidRPr="004836F6">
        <w:rPr>
          <w:rFonts w:ascii="Bookman Old Style" w:hAnsi="Bookman Old Style"/>
          <w:sz w:val="27"/>
          <w:szCs w:val="27"/>
        </w:rPr>
        <w:tab/>
        <w:t xml:space="preserve">El 21 de octubre </w:t>
      </w:r>
      <w:r w:rsidR="00F865D5" w:rsidRPr="004836F6">
        <w:rPr>
          <w:rFonts w:ascii="Bookman Old Style" w:hAnsi="Bookman Old Style"/>
          <w:sz w:val="27"/>
          <w:szCs w:val="27"/>
        </w:rPr>
        <w:t>del mismo año</w:t>
      </w:r>
      <w:r w:rsidRPr="004836F6">
        <w:rPr>
          <w:rFonts w:ascii="Bookman Old Style" w:hAnsi="Bookman Old Style"/>
          <w:sz w:val="27"/>
          <w:szCs w:val="27"/>
        </w:rPr>
        <w:t xml:space="preserve"> se calificó el mérito del sumario</w:t>
      </w:r>
      <w:r w:rsidR="00CB7766" w:rsidRPr="004836F6">
        <w:rPr>
          <w:rFonts w:ascii="Bookman Old Style" w:hAnsi="Bookman Old Style"/>
          <w:sz w:val="27"/>
          <w:szCs w:val="27"/>
        </w:rPr>
        <w:t>. El señor URIBE VÉLEZ fue acusado como probable autor de las referidas conductas punibles. Habiendo sido apelada e</w:t>
      </w:r>
      <w:r w:rsidRPr="004836F6">
        <w:rPr>
          <w:rFonts w:ascii="Bookman Old Style" w:hAnsi="Bookman Old Style"/>
          <w:sz w:val="27"/>
          <w:szCs w:val="27"/>
        </w:rPr>
        <w:t>sa determinación por el defensor</w:t>
      </w:r>
      <w:r w:rsidR="00CB7766" w:rsidRPr="004836F6">
        <w:rPr>
          <w:rFonts w:ascii="Bookman Old Style" w:hAnsi="Bookman Old Style"/>
          <w:sz w:val="27"/>
          <w:szCs w:val="27"/>
        </w:rPr>
        <w:t xml:space="preserve">, la </w:t>
      </w:r>
      <w:proofErr w:type="spellStart"/>
      <w:r w:rsidR="00CB7766" w:rsidRPr="004836F6">
        <w:rPr>
          <w:rFonts w:ascii="Bookman Old Style" w:hAnsi="Bookman Old Style"/>
          <w:sz w:val="27"/>
          <w:szCs w:val="27"/>
        </w:rPr>
        <w:t>Vicefiscal</w:t>
      </w:r>
      <w:proofErr w:type="spellEnd"/>
      <w:r w:rsidR="00CB7766" w:rsidRPr="004836F6">
        <w:rPr>
          <w:rFonts w:ascii="Bookman Old Style" w:hAnsi="Bookman Old Style"/>
          <w:sz w:val="27"/>
          <w:szCs w:val="27"/>
        </w:rPr>
        <w:t xml:space="preserve"> General de la Nación la confirmó, a través de resolución del </w:t>
      </w:r>
      <w:r w:rsidR="00B724CF" w:rsidRPr="004836F6">
        <w:rPr>
          <w:rFonts w:ascii="Bookman Old Style" w:hAnsi="Bookman Old Style"/>
          <w:sz w:val="27"/>
          <w:szCs w:val="27"/>
        </w:rPr>
        <w:t>9 de junio de 2017.</w:t>
      </w:r>
    </w:p>
    <w:p w:rsidR="00B724CF" w:rsidRPr="004836F6" w:rsidRDefault="00B724CF" w:rsidP="00CB7766">
      <w:pPr>
        <w:tabs>
          <w:tab w:val="left" w:pos="709"/>
        </w:tabs>
        <w:spacing w:after="0" w:line="336" w:lineRule="auto"/>
        <w:ind w:right="51"/>
        <w:jc w:val="both"/>
        <w:rPr>
          <w:rFonts w:ascii="Bookman Old Style" w:hAnsi="Bookman Old Style"/>
          <w:sz w:val="27"/>
          <w:szCs w:val="27"/>
        </w:rPr>
      </w:pPr>
    </w:p>
    <w:p w:rsidR="00B724CF" w:rsidRPr="004836F6" w:rsidRDefault="00B724CF" w:rsidP="00CB7766">
      <w:pPr>
        <w:tabs>
          <w:tab w:val="left" w:pos="709"/>
        </w:tabs>
        <w:spacing w:after="0" w:line="336" w:lineRule="auto"/>
        <w:ind w:right="51"/>
        <w:jc w:val="both"/>
        <w:rPr>
          <w:rFonts w:ascii="Bookman Old Style" w:hAnsi="Bookman Old Style"/>
          <w:sz w:val="27"/>
          <w:szCs w:val="27"/>
        </w:rPr>
      </w:pPr>
      <w:r w:rsidRPr="004836F6">
        <w:rPr>
          <w:rFonts w:ascii="Bookman Old Style" w:hAnsi="Bookman Old Style"/>
          <w:sz w:val="27"/>
          <w:szCs w:val="27"/>
        </w:rPr>
        <w:tab/>
        <w:t xml:space="preserve">En firme </w:t>
      </w:r>
      <w:r w:rsidR="00CB7766" w:rsidRPr="004836F6">
        <w:rPr>
          <w:rFonts w:ascii="Bookman Old Style" w:hAnsi="Bookman Old Style"/>
          <w:sz w:val="27"/>
          <w:szCs w:val="27"/>
        </w:rPr>
        <w:t>la acusación,</w:t>
      </w:r>
      <w:r w:rsidRPr="004836F6">
        <w:rPr>
          <w:rFonts w:ascii="Bookman Old Style" w:hAnsi="Bookman Old Style"/>
          <w:sz w:val="27"/>
          <w:szCs w:val="27"/>
        </w:rPr>
        <w:t xml:space="preserve"> el proceso fue asignado al Juzgado </w:t>
      </w:r>
      <w:r w:rsidR="00CB7766" w:rsidRPr="004836F6">
        <w:rPr>
          <w:rFonts w:ascii="Bookman Old Style" w:hAnsi="Bookman Old Style"/>
          <w:sz w:val="27"/>
          <w:szCs w:val="27"/>
        </w:rPr>
        <w:t>1º</w:t>
      </w:r>
      <w:r w:rsidRPr="004836F6">
        <w:rPr>
          <w:rFonts w:ascii="Bookman Old Style" w:hAnsi="Bookman Old Style"/>
          <w:sz w:val="27"/>
          <w:szCs w:val="27"/>
        </w:rPr>
        <w:t xml:space="preserve"> Penal del Circuito Especializado de Antioquia el 21 de junio </w:t>
      </w:r>
      <w:r w:rsidR="00CB7766" w:rsidRPr="004836F6">
        <w:rPr>
          <w:rFonts w:ascii="Bookman Old Style" w:hAnsi="Bookman Old Style"/>
          <w:sz w:val="27"/>
          <w:szCs w:val="27"/>
        </w:rPr>
        <w:t xml:space="preserve">subsiguiente. </w:t>
      </w:r>
    </w:p>
    <w:p w:rsidR="00B72551" w:rsidRPr="004836F6" w:rsidRDefault="00B72551" w:rsidP="00CB7766">
      <w:pPr>
        <w:tabs>
          <w:tab w:val="left" w:pos="709"/>
        </w:tabs>
        <w:spacing w:after="0" w:line="336" w:lineRule="auto"/>
        <w:ind w:right="51"/>
        <w:jc w:val="both"/>
        <w:rPr>
          <w:rFonts w:ascii="Bookman Old Style" w:hAnsi="Bookman Old Style"/>
          <w:sz w:val="27"/>
          <w:szCs w:val="27"/>
        </w:rPr>
      </w:pPr>
    </w:p>
    <w:p w:rsidR="00B72551" w:rsidRPr="004836F6" w:rsidRDefault="00B72551" w:rsidP="00CB7766">
      <w:pPr>
        <w:tabs>
          <w:tab w:val="left" w:pos="709"/>
        </w:tabs>
        <w:spacing w:after="0" w:line="336" w:lineRule="auto"/>
        <w:ind w:right="51"/>
        <w:jc w:val="both"/>
        <w:rPr>
          <w:rFonts w:ascii="Bookman Old Style" w:hAnsi="Bookman Old Style"/>
          <w:sz w:val="27"/>
          <w:szCs w:val="27"/>
        </w:rPr>
      </w:pPr>
      <w:r w:rsidRPr="004836F6">
        <w:rPr>
          <w:rFonts w:ascii="Bookman Old Style" w:hAnsi="Bookman Old Style"/>
          <w:sz w:val="27"/>
          <w:szCs w:val="27"/>
        </w:rPr>
        <w:tab/>
        <w:t xml:space="preserve">2. El 27 de julio </w:t>
      </w:r>
      <w:r w:rsidR="000143FF" w:rsidRPr="004836F6">
        <w:rPr>
          <w:rFonts w:ascii="Bookman Old Style" w:hAnsi="Bookman Old Style"/>
          <w:sz w:val="27"/>
          <w:szCs w:val="27"/>
        </w:rPr>
        <w:t>de 2017</w:t>
      </w:r>
      <w:r w:rsidRPr="004836F6">
        <w:rPr>
          <w:rFonts w:ascii="Bookman Old Style" w:hAnsi="Bookman Old Style"/>
          <w:sz w:val="27"/>
          <w:szCs w:val="27"/>
        </w:rPr>
        <w:t xml:space="preserve">, el defensor de SANTIAGO URIBE VÉLEZ solicitó al juzgado la sustitución de la medida de aseguramiento impuesta a su defendido, por alguna no privativa de la libertad.  Fundó su petición en lo dispuesto por </w:t>
      </w:r>
      <w:r w:rsidR="00CB7766" w:rsidRPr="004836F6">
        <w:rPr>
          <w:rFonts w:ascii="Bookman Old Style" w:hAnsi="Bookman Old Style"/>
          <w:sz w:val="27"/>
          <w:szCs w:val="27"/>
        </w:rPr>
        <w:t xml:space="preserve">el art. 1º de </w:t>
      </w:r>
      <w:r w:rsidRPr="004836F6">
        <w:rPr>
          <w:rFonts w:ascii="Bookman Old Style" w:hAnsi="Bookman Old Style"/>
          <w:sz w:val="27"/>
          <w:szCs w:val="27"/>
        </w:rPr>
        <w:t>la Ley 1786 de 2016</w:t>
      </w:r>
      <w:r w:rsidR="00CB7766" w:rsidRPr="004836F6">
        <w:rPr>
          <w:rFonts w:ascii="Bookman Old Style" w:hAnsi="Bookman Old Style"/>
          <w:sz w:val="27"/>
          <w:szCs w:val="27"/>
        </w:rPr>
        <w:t>, norma que, resalta, es aplicable a procesos penales regidos por la Ley 600 de 2000, de acuerdo con la jurisprudencia especializada (</w:t>
      </w:r>
      <w:r w:rsidR="002B55AB" w:rsidRPr="004836F6">
        <w:rPr>
          <w:rFonts w:ascii="Bookman Old Style" w:hAnsi="Bookman Old Style"/>
          <w:sz w:val="27"/>
          <w:szCs w:val="27"/>
        </w:rPr>
        <w:t>CSJ AP4711-2017</w:t>
      </w:r>
      <w:r w:rsidR="00CB7766" w:rsidRPr="004836F6">
        <w:rPr>
          <w:rFonts w:ascii="Bookman Old Style" w:hAnsi="Bookman Old Style"/>
          <w:sz w:val="27"/>
          <w:szCs w:val="27"/>
        </w:rPr>
        <w:t xml:space="preserve">, rad. </w:t>
      </w:r>
      <w:r w:rsidR="002B55AB" w:rsidRPr="004836F6">
        <w:rPr>
          <w:rFonts w:ascii="Bookman Old Style" w:hAnsi="Bookman Old Style"/>
          <w:sz w:val="27"/>
          <w:szCs w:val="27"/>
        </w:rPr>
        <w:t>49.734).</w:t>
      </w:r>
    </w:p>
    <w:p w:rsidR="002B55AB" w:rsidRPr="004836F6" w:rsidRDefault="002B55AB" w:rsidP="00CB7766">
      <w:pPr>
        <w:tabs>
          <w:tab w:val="left" w:pos="709"/>
        </w:tabs>
        <w:spacing w:after="0" w:line="336" w:lineRule="auto"/>
        <w:ind w:right="51"/>
        <w:jc w:val="both"/>
        <w:rPr>
          <w:rFonts w:ascii="Bookman Old Style" w:hAnsi="Bookman Old Style"/>
          <w:sz w:val="27"/>
          <w:szCs w:val="27"/>
        </w:rPr>
      </w:pPr>
    </w:p>
    <w:p w:rsidR="002B55AB" w:rsidRPr="004836F6" w:rsidRDefault="002B55AB" w:rsidP="00CB7766">
      <w:pPr>
        <w:tabs>
          <w:tab w:val="left" w:pos="709"/>
        </w:tabs>
        <w:spacing w:after="0" w:line="336" w:lineRule="auto"/>
        <w:ind w:right="51"/>
        <w:jc w:val="both"/>
        <w:rPr>
          <w:rFonts w:ascii="Bookman Old Style" w:hAnsi="Bookman Old Style"/>
          <w:sz w:val="27"/>
          <w:szCs w:val="27"/>
        </w:rPr>
      </w:pPr>
      <w:r w:rsidRPr="004836F6">
        <w:rPr>
          <w:rFonts w:ascii="Bookman Old Style" w:hAnsi="Bookman Old Style"/>
          <w:sz w:val="27"/>
          <w:szCs w:val="27"/>
        </w:rPr>
        <w:tab/>
        <w:t xml:space="preserve">Mediante auto del 11 de agosto </w:t>
      </w:r>
      <w:r w:rsidR="000143FF" w:rsidRPr="004836F6">
        <w:rPr>
          <w:rFonts w:ascii="Bookman Old Style" w:hAnsi="Bookman Old Style"/>
          <w:sz w:val="27"/>
          <w:szCs w:val="27"/>
        </w:rPr>
        <w:t>subsiguiente</w:t>
      </w:r>
      <w:r w:rsidRPr="004836F6">
        <w:rPr>
          <w:rFonts w:ascii="Bookman Old Style" w:hAnsi="Bookman Old Style"/>
          <w:sz w:val="27"/>
          <w:szCs w:val="27"/>
        </w:rPr>
        <w:t xml:space="preserve">, el Juzgado </w:t>
      </w:r>
      <w:r w:rsidR="000143FF" w:rsidRPr="004836F6">
        <w:rPr>
          <w:rFonts w:ascii="Bookman Old Style" w:hAnsi="Bookman Old Style"/>
          <w:sz w:val="27"/>
          <w:szCs w:val="27"/>
        </w:rPr>
        <w:t>1º</w:t>
      </w:r>
      <w:r w:rsidRPr="004836F6">
        <w:rPr>
          <w:rFonts w:ascii="Bookman Old Style" w:hAnsi="Bookman Old Style"/>
          <w:sz w:val="27"/>
          <w:szCs w:val="27"/>
        </w:rPr>
        <w:t xml:space="preserve"> Penal del Circuito Especializado de Antioquia negó la petición</w:t>
      </w:r>
      <w:r w:rsidR="000143FF" w:rsidRPr="004836F6">
        <w:rPr>
          <w:rFonts w:ascii="Bookman Old Style" w:hAnsi="Bookman Old Style"/>
          <w:sz w:val="27"/>
          <w:szCs w:val="27"/>
        </w:rPr>
        <w:t xml:space="preserve">, al tiempo que dispuso </w:t>
      </w:r>
      <w:r w:rsidRPr="004836F6">
        <w:rPr>
          <w:rFonts w:ascii="Bookman Old Style" w:hAnsi="Bookman Old Style"/>
          <w:sz w:val="27"/>
          <w:szCs w:val="27"/>
        </w:rPr>
        <w:t xml:space="preserve">prorrogar </w:t>
      </w:r>
      <w:r w:rsidR="000143FF" w:rsidRPr="004836F6">
        <w:rPr>
          <w:rFonts w:ascii="Bookman Old Style" w:hAnsi="Bookman Old Style"/>
          <w:sz w:val="27"/>
          <w:szCs w:val="27"/>
        </w:rPr>
        <w:t>“</w:t>
      </w:r>
      <w:r w:rsidRPr="004836F6">
        <w:rPr>
          <w:rFonts w:ascii="Bookman Old Style" w:hAnsi="Bookman Old Style"/>
          <w:i/>
          <w:sz w:val="27"/>
          <w:szCs w:val="27"/>
        </w:rPr>
        <w:t>la medida de aseguramiento</w:t>
      </w:r>
      <w:r w:rsidR="000143FF" w:rsidRPr="004836F6">
        <w:rPr>
          <w:rFonts w:ascii="Bookman Old Style" w:hAnsi="Bookman Old Style"/>
          <w:sz w:val="27"/>
          <w:szCs w:val="27"/>
        </w:rPr>
        <w:t>”</w:t>
      </w:r>
      <w:r w:rsidR="00203081" w:rsidRPr="004836F6">
        <w:rPr>
          <w:rFonts w:ascii="Bookman Old Style" w:hAnsi="Bookman Old Style"/>
          <w:sz w:val="27"/>
          <w:szCs w:val="27"/>
        </w:rPr>
        <w:t xml:space="preserve">. </w:t>
      </w:r>
    </w:p>
    <w:p w:rsidR="002B55AB" w:rsidRPr="004836F6" w:rsidRDefault="002B55AB" w:rsidP="00CB7766">
      <w:pPr>
        <w:tabs>
          <w:tab w:val="left" w:pos="709"/>
        </w:tabs>
        <w:spacing w:after="0" w:line="336" w:lineRule="auto"/>
        <w:ind w:right="51"/>
        <w:jc w:val="both"/>
        <w:rPr>
          <w:rFonts w:ascii="Bookman Old Style" w:hAnsi="Bookman Old Style"/>
          <w:sz w:val="27"/>
          <w:szCs w:val="27"/>
        </w:rPr>
      </w:pPr>
    </w:p>
    <w:p w:rsidR="002B55AB" w:rsidRPr="004836F6" w:rsidRDefault="002B55AB" w:rsidP="00CB7766">
      <w:pPr>
        <w:tabs>
          <w:tab w:val="left" w:pos="709"/>
        </w:tabs>
        <w:spacing w:after="0" w:line="336" w:lineRule="auto"/>
        <w:ind w:right="51"/>
        <w:jc w:val="both"/>
        <w:rPr>
          <w:rFonts w:ascii="Bookman Old Style" w:hAnsi="Bookman Old Style"/>
          <w:sz w:val="27"/>
          <w:szCs w:val="27"/>
        </w:rPr>
      </w:pPr>
      <w:r w:rsidRPr="004836F6">
        <w:rPr>
          <w:rFonts w:ascii="Bookman Old Style" w:hAnsi="Bookman Old Style"/>
          <w:sz w:val="27"/>
          <w:szCs w:val="27"/>
        </w:rPr>
        <w:tab/>
      </w:r>
      <w:r w:rsidR="00F5087B" w:rsidRPr="004836F6">
        <w:rPr>
          <w:rFonts w:ascii="Bookman Old Style" w:hAnsi="Bookman Old Style"/>
          <w:sz w:val="27"/>
          <w:szCs w:val="27"/>
        </w:rPr>
        <w:t xml:space="preserve">Contra tal decisión se interpuso el recurso de apelación por el defensor y el </w:t>
      </w:r>
      <w:r w:rsidR="00DF432C" w:rsidRPr="004836F6">
        <w:rPr>
          <w:rFonts w:ascii="Bookman Old Style" w:hAnsi="Bookman Old Style"/>
          <w:sz w:val="27"/>
          <w:szCs w:val="27"/>
        </w:rPr>
        <w:t xml:space="preserve">representante del Ministerio Público, la cual </w:t>
      </w:r>
      <w:r w:rsidR="00DF432C" w:rsidRPr="004836F6">
        <w:rPr>
          <w:rFonts w:ascii="Bookman Old Style" w:hAnsi="Bookman Old Style"/>
          <w:sz w:val="27"/>
          <w:szCs w:val="27"/>
        </w:rPr>
        <w:lastRenderedPageBreak/>
        <w:t xml:space="preserve">fue confirmada en auto del 13 de septiembre, proferido por </w:t>
      </w:r>
      <w:r w:rsidRPr="004836F6">
        <w:rPr>
          <w:rFonts w:ascii="Bookman Old Style" w:hAnsi="Bookman Old Style"/>
          <w:sz w:val="27"/>
          <w:szCs w:val="27"/>
        </w:rPr>
        <w:t>la Sala Penal del</w:t>
      </w:r>
      <w:r w:rsidR="00DF432C" w:rsidRPr="004836F6">
        <w:rPr>
          <w:rFonts w:ascii="Bookman Old Style" w:hAnsi="Bookman Old Style"/>
          <w:sz w:val="27"/>
          <w:szCs w:val="27"/>
        </w:rPr>
        <w:t xml:space="preserve"> Tribunal Superior de Antioquia. </w:t>
      </w:r>
    </w:p>
    <w:p w:rsidR="002B55AB" w:rsidRPr="004836F6" w:rsidRDefault="002B55AB" w:rsidP="00CB7766">
      <w:pPr>
        <w:tabs>
          <w:tab w:val="left" w:pos="709"/>
        </w:tabs>
        <w:spacing w:after="0" w:line="336" w:lineRule="auto"/>
        <w:ind w:right="51"/>
        <w:jc w:val="both"/>
        <w:rPr>
          <w:rFonts w:ascii="Bookman Old Style" w:hAnsi="Bookman Old Style"/>
          <w:sz w:val="27"/>
          <w:szCs w:val="27"/>
        </w:rPr>
      </w:pPr>
    </w:p>
    <w:p w:rsidR="0008576F" w:rsidRPr="004836F6" w:rsidRDefault="002B55AB" w:rsidP="00CB7766">
      <w:pPr>
        <w:tabs>
          <w:tab w:val="left" w:pos="709"/>
        </w:tabs>
        <w:spacing w:after="0" w:line="336" w:lineRule="auto"/>
        <w:ind w:right="51"/>
        <w:jc w:val="both"/>
        <w:rPr>
          <w:rFonts w:ascii="Bookman Old Style" w:hAnsi="Bookman Old Style"/>
          <w:sz w:val="27"/>
          <w:szCs w:val="27"/>
        </w:rPr>
      </w:pPr>
      <w:r w:rsidRPr="004836F6">
        <w:rPr>
          <w:rFonts w:ascii="Bookman Old Style" w:hAnsi="Bookman Old Style"/>
          <w:sz w:val="27"/>
          <w:szCs w:val="27"/>
        </w:rPr>
        <w:tab/>
        <w:t xml:space="preserve">3. </w:t>
      </w:r>
      <w:r w:rsidR="002B189E" w:rsidRPr="004836F6">
        <w:rPr>
          <w:rFonts w:ascii="Bookman Old Style" w:hAnsi="Bookman Old Style"/>
          <w:sz w:val="27"/>
          <w:szCs w:val="27"/>
        </w:rPr>
        <w:t>En ese</w:t>
      </w:r>
      <w:r w:rsidR="0008576F" w:rsidRPr="004836F6">
        <w:rPr>
          <w:rFonts w:ascii="Bookman Old Style" w:hAnsi="Bookman Old Style"/>
          <w:sz w:val="27"/>
          <w:szCs w:val="27"/>
        </w:rPr>
        <w:t xml:space="preserve"> marco fáctico, </w:t>
      </w:r>
      <w:r w:rsidR="00D95022" w:rsidRPr="004836F6">
        <w:rPr>
          <w:rFonts w:ascii="Bookman Old Style" w:hAnsi="Bookman Old Style"/>
          <w:sz w:val="27"/>
          <w:szCs w:val="27"/>
        </w:rPr>
        <w:t xml:space="preserve">SANTIAGO URIBE VÉLEZ </w:t>
      </w:r>
      <w:r w:rsidR="0008576F" w:rsidRPr="004836F6">
        <w:rPr>
          <w:rFonts w:ascii="Bookman Old Style" w:hAnsi="Bookman Old Style"/>
          <w:sz w:val="27"/>
          <w:szCs w:val="27"/>
        </w:rPr>
        <w:t xml:space="preserve">interpone acción de tutela. </w:t>
      </w:r>
      <w:r w:rsidR="00203081" w:rsidRPr="004836F6">
        <w:rPr>
          <w:rFonts w:ascii="Bookman Old Style" w:hAnsi="Bookman Old Style"/>
          <w:sz w:val="27"/>
          <w:szCs w:val="27"/>
        </w:rPr>
        <w:t xml:space="preserve">Tras afirmar el cumplimiento de los presupuestos genéricos de procedibilidad de la tutela contra providencias judiciales, denuncia la vulneración de sus derechos fundamentales al debido proceso e, indirectamente, a la libertad personal. </w:t>
      </w:r>
    </w:p>
    <w:p w:rsidR="00203081" w:rsidRPr="004836F6" w:rsidRDefault="00203081" w:rsidP="00CB7766">
      <w:pPr>
        <w:tabs>
          <w:tab w:val="left" w:pos="709"/>
        </w:tabs>
        <w:spacing w:after="0" w:line="336" w:lineRule="auto"/>
        <w:ind w:right="51"/>
        <w:jc w:val="both"/>
        <w:rPr>
          <w:rFonts w:ascii="Bookman Old Style" w:hAnsi="Bookman Old Style"/>
          <w:sz w:val="27"/>
          <w:szCs w:val="27"/>
        </w:rPr>
      </w:pPr>
    </w:p>
    <w:p w:rsidR="00292BEF" w:rsidRPr="004836F6" w:rsidRDefault="00203081" w:rsidP="00CB7766">
      <w:pPr>
        <w:tabs>
          <w:tab w:val="left" w:pos="709"/>
        </w:tabs>
        <w:spacing w:after="0" w:line="336" w:lineRule="auto"/>
        <w:ind w:right="51"/>
        <w:jc w:val="both"/>
        <w:rPr>
          <w:rFonts w:ascii="Bookman Old Style" w:hAnsi="Bookman Old Style"/>
          <w:sz w:val="27"/>
          <w:szCs w:val="27"/>
        </w:rPr>
      </w:pPr>
      <w:r w:rsidRPr="004836F6">
        <w:rPr>
          <w:rFonts w:ascii="Bookman Old Style" w:hAnsi="Bookman Old Style"/>
          <w:sz w:val="27"/>
          <w:szCs w:val="27"/>
        </w:rPr>
        <w:tab/>
        <w:t xml:space="preserve">Esto último, </w:t>
      </w:r>
      <w:r w:rsidR="00F02EB5" w:rsidRPr="004836F6">
        <w:rPr>
          <w:rFonts w:ascii="Bookman Old Style" w:hAnsi="Bookman Old Style"/>
          <w:sz w:val="27"/>
          <w:szCs w:val="27"/>
        </w:rPr>
        <w:t xml:space="preserve">sostiene, </w:t>
      </w:r>
      <w:r w:rsidRPr="004836F6">
        <w:rPr>
          <w:rFonts w:ascii="Bookman Old Style" w:hAnsi="Bookman Old Style"/>
          <w:sz w:val="27"/>
          <w:szCs w:val="27"/>
        </w:rPr>
        <w:t xml:space="preserve">a causa de un </w:t>
      </w:r>
      <w:r w:rsidRPr="004836F6">
        <w:rPr>
          <w:rFonts w:ascii="Bookman Old Style" w:hAnsi="Bookman Old Style"/>
          <w:i/>
          <w:sz w:val="27"/>
          <w:szCs w:val="27"/>
        </w:rPr>
        <w:t xml:space="preserve">defecto procedimental absoluto, </w:t>
      </w:r>
      <w:r w:rsidRPr="004836F6">
        <w:rPr>
          <w:rFonts w:ascii="Bookman Old Style" w:hAnsi="Bookman Old Style"/>
          <w:sz w:val="27"/>
          <w:szCs w:val="27"/>
        </w:rPr>
        <w:t xml:space="preserve">cifrado en que el juez de la causa prorrogó </w:t>
      </w:r>
      <w:r w:rsidRPr="004836F6">
        <w:rPr>
          <w:rFonts w:ascii="Bookman Old Style" w:hAnsi="Bookman Old Style"/>
          <w:i/>
          <w:sz w:val="27"/>
          <w:szCs w:val="27"/>
        </w:rPr>
        <w:t>oficiosamente</w:t>
      </w:r>
      <w:r w:rsidRPr="004836F6">
        <w:rPr>
          <w:rFonts w:ascii="Bookman Old Style" w:hAnsi="Bookman Old Style"/>
          <w:sz w:val="27"/>
          <w:szCs w:val="27"/>
        </w:rPr>
        <w:t xml:space="preserve">, con el beneplácito del Tribunal, el </w:t>
      </w:r>
      <w:r w:rsidRPr="004836F6">
        <w:rPr>
          <w:rFonts w:ascii="Bookman Old Style" w:hAnsi="Bookman Old Style"/>
          <w:i/>
          <w:sz w:val="27"/>
          <w:szCs w:val="27"/>
        </w:rPr>
        <w:t xml:space="preserve">término máximo de duración de la detención preventiva, </w:t>
      </w:r>
      <w:r w:rsidR="00EB1784" w:rsidRPr="004836F6">
        <w:rPr>
          <w:rFonts w:ascii="Bookman Old Style" w:hAnsi="Bookman Old Style"/>
          <w:sz w:val="27"/>
          <w:szCs w:val="27"/>
        </w:rPr>
        <w:t>sin considerar el procedimiento fijado en la Ley 1786 de 2016.</w:t>
      </w:r>
    </w:p>
    <w:p w:rsidR="00EB1784" w:rsidRPr="004836F6" w:rsidRDefault="00EB1784" w:rsidP="00CB7766">
      <w:pPr>
        <w:tabs>
          <w:tab w:val="left" w:pos="709"/>
        </w:tabs>
        <w:spacing w:after="0" w:line="336" w:lineRule="auto"/>
        <w:ind w:right="51"/>
        <w:jc w:val="both"/>
        <w:rPr>
          <w:rFonts w:ascii="Bookman Old Style" w:hAnsi="Bookman Old Style"/>
          <w:sz w:val="27"/>
          <w:szCs w:val="27"/>
        </w:rPr>
      </w:pPr>
    </w:p>
    <w:p w:rsidR="000B290F" w:rsidRPr="004836F6" w:rsidRDefault="00EB1784" w:rsidP="00CB7766">
      <w:pPr>
        <w:tabs>
          <w:tab w:val="left" w:pos="709"/>
        </w:tabs>
        <w:spacing w:after="0" w:line="336" w:lineRule="auto"/>
        <w:ind w:right="51"/>
        <w:jc w:val="both"/>
        <w:rPr>
          <w:rFonts w:ascii="Bookman Old Style" w:hAnsi="Bookman Old Style"/>
          <w:sz w:val="27"/>
          <w:szCs w:val="27"/>
        </w:rPr>
      </w:pPr>
      <w:r w:rsidRPr="004836F6">
        <w:rPr>
          <w:rFonts w:ascii="Bookman Old Style" w:hAnsi="Bookman Old Style"/>
          <w:sz w:val="27"/>
          <w:szCs w:val="27"/>
        </w:rPr>
        <w:tab/>
      </w:r>
      <w:r w:rsidR="00397FF3" w:rsidRPr="004836F6">
        <w:rPr>
          <w:rFonts w:ascii="Bookman Old Style" w:hAnsi="Bookman Old Style"/>
          <w:sz w:val="27"/>
          <w:szCs w:val="27"/>
        </w:rPr>
        <w:t>Tal</w:t>
      </w:r>
      <w:r w:rsidRPr="004836F6">
        <w:rPr>
          <w:rFonts w:ascii="Bookman Old Style" w:hAnsi="Bookman Old Style"/>
          <w:sz w:val="27"/>
          <w:szCs w:val="27"/>
        </w:rPr>
        <w:t xml:space="preserve"> situación</w:t>
      </w:r>
      <w:r w:rsidR="003B48B4" w:rsidRPr="004836F6">
        <w:rPr>
          <w:rFonts w:ascii="Bookman Old Style" w:hAnsi="Bookman Old Style"/>
          <w:sz w:val="27"/>
          <w:szCs w:val="27"/>
        </w:rPr>
        <w:t>, alega,</w:t>
      </w:r>
      <w:r w:rsidRPr="004836F6">
        <w:rPr>
          <w:rFonts w:ascii="Bookman Old Style" w:hAnsi="Bookman Old Style"/>
          <w:sz w:val="27"/>
          <w:szCs w:val="27"/>
        </w:rPr>
        <w:t xml:space="preserve"> implicó la vulneración </w:t>
      </w:r>
      <w:r w:rsidR="007D153A" w:rsidRPr="004836F6">
        <w:rPr>
          <w:rFonts w:ascii="Bookman Old Style" w:hAnsi="Bookman Old Style"/>
          <w:sz w:val="27"/>
          <w:szCs w:val="27"/>
        </w:rPr>
        <w:t xml:space="preserve">de las mencionadas garantías fundamentales, </w:t>
      </w:r>
      <w:r w:rsidRPr="004836F6">
        <w:rPr>
          <w:rFonts w:ascii="Bookman Old Style" w:hAnsi="Bookman Old Style"/>
          <w:i/>
          <w:sz w:val="27"/>
          <w:szCs w:val="27"/>
        </w:rPr>
        <w:t>«en tanto la decisión a adoptar, por cumplirse con los requisitos de ley, era la sustitución de la detención por una medida no privativa de la libertad»</w:t>
      </w:r>
      <w:r w:rsidRPr="004836F6">
        <w:rPr>
          <w:rFonts w:ascii="Bookman Old Style" w:hAnsi="Bookman Old Style"/>
          <w:sz w:val="27"/>
          <w:szCs w:val="27"/>
        </w:rPr>
        <w:t>.</w:t>
      </w:r>
      <w:r w:rsidR="000B290F" w:rsidRPr="004836F6">
        <w:rPr>
          <w:rFonts w:ascii="Bookman Old Style" w:hAnsi="Bookman Old Style"/>
          <w:sz w:val="27"/>
          <w:szCs w:val="27"/>
        </w:rPr>
        <w:t xml:space="preserve"> Esta consecuencia jurídica, puntualiza, resultaba aplicable en el asunto bajo examen, como quiera que el juez carecía de facultades oficiosas para extender, por un año más, el término máximo legal de vigencia de la detención preventiva. Además de que, destaca, no medió petición de parte para ello, la oportunidad procesal para decretar la prórroga del aludido plazo </w:t>
      </w:r>
      <w:r w:rsidR="000B290F" w:rsidRPr="004836F6">
        <w:rPr>
          <w:rFonts w:ascii="Bookman Old Style" w:hAnsi="Bookman Old Style"/>
          <w:sz w:val="24"/>
          <w:szCs w:val="24"/>
        </w:rPr>
        <w:t xml:space="preserve">(art. 3º de la Ley 1786 de 2016) </w:t>
      </w:r>
      <w:r w:rsidR="000B290F" w:rsidRPr="004836F6">
        <w:rPr>
          <w:rFonts w:ascii="Bookman Old Style" w:hAnsi="Bookman Old Style"/>
          <w:sz w:val="27"/>
          <w:szCs w:val="27"/>
        </w:rPr>
        <w:t xml:space="preserve">ya había fenecido. </w:t>
      </w:r>
    </w:p>
    <w:p w:rsidR="000B290F" w:rsidRPr="004836F6" w:rsidRDefault="000B290F" w:rsidP="00CB7766">
      <w:pPr>
        <w:tabs>
          <w:tab w:val="left" w:pos="709"/>
        </w:tabs>
        <w:spacing w:after="0" w:line="336" w:lineRule="auto"/>
        <w:ind w:right="51"/>
        <w:jc w:val="both"/>
        <w:rPr>
          <w:rFonts w:ascii="Bookman Old Style" w:hAnsi="Bookman Old Style"/>
          <w:sz w:val="27"/>
          <w:szCs w:val="27"/>
        </w:rPr>
      </w:pPr>
    </w:p>
    <w:p w:rsidR="005F0338" w:rsidRPr="004836F6" w:rsidRDefault="000B290F" w:rsidP="00CB7766">
      <w:pPr>
        <w:tabs>
          <w:tab w:val="left" w:pos="709"/>
        </w:tabs>
        <w:spacing w:after="0" w:line="336" w:lineRule="auto"/>
        <w:ind w:right="51"/>
        <w:jc w:val="both"/>
        <w:rPr>
          <w:rFonts w:ascii="Bookman Old Style" w:hAnsi="Bookman Old Style"/>
          <w:sz w:val="27"/>
          <w:szCs w:val="27"/>
        </w:rPr>
      </w:pPr>
      <w:r w:rsidRPr="004836F6">
        <w:rPr>
          <w:rFonts w:ascii="Bookman Old Style" w:hAnsi="Bookman Old Style"/>
          <w:sz w:val="27"/>
          <w:szCs w:val="27"/>
        </w:rPr>
        <w:tab/>
        <w:t xml:space="preserve">En su criterio, </w:t>
      </w:r>
      <w:r w:rsidR="005F0338" w:rsidRPr="004836F6">
        <w:rPr>
          <w:rFonts w:ascii="Bookman Old Style" w:hAnsi="Bookman Old Style"/>
          <w:sz w:val="27"/>
          <w:szCs w:val="27"/>
        </w:rPr>
        <w:t xml:space="preserve">los funcionarios </w:t>
      </w:r>
      <w:r w:rsidRPr="004836F6">
        <w:rPr>
          <w:rFonts w:ascii="Bookman Old Style" w:hAnsi="Bookman Old Style"/>
          <w:sz w:val="27"/>
          <w:szCs w:val="27"/>
        </w:rPr>
        <w:t>demand</w:t>
      </w:r>
      <w:r w:rsidR="005F0338" w:rsidRPr="004836F6">
        <w:rPr>
          <w:rFonts w:ascii="Bookman Old Style" w:hAnsi="Bookman Old Style"/>
          <w:sz w:val="27"/>
          <w:szCs w:val="27"/>
        </w:rPr>
        <w:t xml:space="preserve">ados le dieron un alcance </w:t>
      </w:r>
      <w:r w:rsidRPr="004836F6">
        <w:rPr>
          <w:rFonts w:ascii="Bookman Old Style" w:hAnsi="Bookman Old Style"/>
          <w:sz w:val="27"/>
          <w:szCs w:val="27"/>
        </w:rPr>
        <w:t xml:space="preserve">incorrecto al auto </w:t>
      </w:r>
      <w:r w:rsidR="005F0338" w:rsidRPr="004836F6">
        <w:rPr>
          <w:rFonts w:ascii="Bookman Old Style" w:hAnsi="Bookman Old Style"/>
          <w:sz w:val="27"/>
          <w:szCs w:val="27"/>
        </w:rPr>
        <w:t>del 24 de julio de 2017</w:t>
      </w:r>
      <w:r w:rsidRPr="004836F6">
        <w:rPr>
          <w:rFonts w:ascii="Bookman Old Style" w:hAnsi="Bookman Old Style"/>
          <w:sz w:val="27"/>
          <w:szCs w:val="27"/>
        </w:rPr>
        <w:t>, emitido</w:t>
      </w:r>
      <w:r w:rsidR="005F0338" w:rsidRPr="004836F6">
        <w:rPr>
          <w:rFonts w:ascii="Bookman Old Style" w:hAnsi="Bookman Old Style"/>
          <w:sz w:val="27"/>
          <w:szCs w:val="27"/>
        </w:rPr>
        <w:t xml:space="preserve"> por la Sala de Casación Penal, pues allí no se planteó la posibilidad </w:t>
      </w:r>
      <w:r w:rsidR="005F0338" w:rsidRPr="004836F6">
        <w:rPr>
          <w:rFonts w:ascii="Bookman Old Style" w:hAnsi="Bookman Old Style"/>
          <w:sz w:val="27"/>
          <w:szCs w:val="27"/>
        </w:rPr>
        <w:lastRenderedPageBreak/>
        <w:t xml:space="preserve">de </w:t>
      </w:r>
      <w:r w:rsidRPr="004836F6">
        <w:rPr>
          <w:rFonts w:ascii="Bookman Old Style" w:hAnsi="Bookman Old Style"/>
          <w:sz w:val="27"/>
          <w:szCs w:val="27"/>
        </w:rPr>
        <w:t>decretar de manera oficiosa</w:t>
      </w:r>
      <w:r w:rsidR="005F0338" w:rsidRPr="004836F6">
        <w:rPr>
          <w:rFonts w:ascii="Bookman Old Style" w:hAnsi="Bookman Old Style"/>
          <w:sz w:val="27"/>
          <w:szCs w:val="27"/>
        </w:rPr>
        <w:t xml:space="preserve"> la aludida prórroga</w:t>
      </w:r>
      <w:r w:rsidRPr="004836F6">
        <w:rPr>
          <w:rFonts w:ascii="Bookman Old Style" w:hAnsi="Bookman Old Style"/>
          <w:sz w:val="27"/>
          <w:szCs w:val="27"/>
        </w:rPr>
        <w:t xml:space="preserve">, sino que la </w:t>
      </w:r>
      <w:r w:rsidR="005F0338" w:rsidRPr="004836F6">
        <w:rPr>
          <w:rFonts w:ascii="Bookman Old Style" w:hAnsi="Bookman Old Style"/>
          <w:sz w:val="27"/>
          <w:szCs w:val="27"/>
        </w:rPr>
        <w:t xml:space="preserve">Corte únicamente definió </w:t>
      </w:r>
      <w:r w:rsidR="005F0338" w:rsidRPr="004836F6">
        <w:rPr>
          <w:rFonts w:ascii="Bookman Old Style" w:hAnsi="Bookman Old Style"/>
          <w:i/>
          <w:sz w:val="27"/>
          <w:szCs w:val="27"/>
        </w:rPr>
        <w:t>«quien era el competente para decidir sobre las peticiones de sustitución o prórroga de la medida de aseguramiento»</w:t>
      </w:r>
      <w:r w:rsidR="005F0338" w:rsidRPr="004836F6">
        <w:rPr>
          <w:rFonts w:ascii="Bookman Old Style" w:hAnsi="Bookman Old Style"/>
          <w:sz w:val="27"/>
          <w:szCs w:val="27"/>
        </w:rPr>
        <w:t>.</w:t>
      </w:r>
    </w:p>
    <w:p w:rsidR="005F0338" w:rsidRPr="004836F6" w:rsidRDefault="005F0338" w:rsidP="00CB7766">
      <w:pPr>
        <w:tabs>
          <w:tab w:val="left" w:pos="709"/>
        </w:tabs>
        <w:spacing w:after="0" w:line="336" w:lineRule="auto"/>
        <w:ind w:right="51"/>
        <w:jc w:val="both"/>
        <w:rPr>
          <w:rFonts w:ascii="Bookman Old Style" w:hAnsi="Bookman Old Style"/>
          <w:sz w:val="27"/>
          <w:szCs w:val="27"/>
        </w:rPr>
      </w:pPr>
    </w:p>
    <w:p w:rsidR="00087E1D" w:rsidRPr="004836F6" w:rsidRDefault="005F0338" w:rsidP="00CB7766">
      <w:pPr>
        <w:tabs>
          <w:tab w:val="left" w:pos="709"/>
        </w:tabs>
        <w:spacing w:after="0" w:line="336" w:lineRule="auto"/>
        <w:ind w:right="51"/>
        <w:jc w:val="both"/>
        <w:rPr>
          <w:rFonts w:ascii="Bookman Old Style" w:hAnsi="Bookman Old Style"/>
          <w:sz w:val="27"/>
          <w:szCs w:val="27"/>
        </w:rPr>
      </w:pPr>
      <w:r w:rsidRPr="004836F6">
        <w:rPr>
          <w:rFonts w:ascii="Bookman Old Style" w:hAnsi="Bookman Old Style"/>
          <w:sz w:val="27"/>
          <w:szCs w:val="27"/>
        </w:rPr>
        <w:tab/>
      </w:r>
      <w:r w:rsidR="00087E1D" w:rsidRPr="004836F6">
        <w:rPr>
          <w:rFonts w:ascii="Bookman Old Style" w:hAnsi="Bookman Old Style"/>
          <w:sz w:val="27"/>
          <w:szCs w:val="27"/>
        </w:rPr>
        <w:t xml:space="preserve">De otra parte, </w:t>
      </w:r>
      <w:r w:rsidR="000B290F" w:rsidRPr="004836F6">
        <w:rPr>
          <w:rFonts w:ascii="Bookman Old Style" w:hAnsi="Bookman Old Style"/>
          <w:sz w:val="27"/>
          <w:szCs w:val="27"/>
        </w:rPr>
        <w:t xml:space="preserve">subraya, la </w:t>
      </w:r>
      <w:r w:rsidR="00087E1D" w:rsidRPr="004836F6">
        <w:rPr>
          <w:rFonts w:ascii="Bookman Old Style" w:hAnsi="Bookman Old Style"/>
          <w:sz w:val="27"/>
          <w:szCs w:val="27"/>
        </w:rPr>
        <w:t>posibilidad de prorrogar el plazo</w:t>
      </w:r>
      <w:r w:rsidR="00F8306B" w:rsidRPr="004836F6">
        <w:rPr>
          <w:rFonts w:ascii="Bookman Old Style" w:hAnsi="Bookman Old Style"/>
          <w:sz w:val="27"/>
          <w:szCs w:val="27"/>
        </w:rPr>
        <w:t xml:space="preserve"> máximo de vigencia de la medida de aseguramiento privativa de la libertad</w:t>
      </w:r>
      <w:r w:rsidR="00087E1D" w:rsidRPr="004836F6">
        <w:rPr>
          <w:rFonts w:ascii="Bookman Old Style" w:hAnsi="Bookman Old Style"/>
          <w:sz w:val="27"/>
          <w:szCs w:val="27"/>
        </w:rPr>
        <w:t xml:space="preserve"> feneció el 28 de febrero de 2017, cuando URIBE VÉLEZ cumplió un año de estar </w:t>
      </w:r>
      <w:r w:rsidR="00AC4667" w:rsidRPr="004836F6">
        <w:rPr>
          <w:rFonts w:ascii="Bookman Old Style" w:hAnsi="Bookman Old Style"/>
          <w:sz w:val="27"/>
          <w:szCs w:val="27"/>
        </w:rPr>
        <w:t>detenido</w:t>
      </w:r>
      <w:r w:rsidR="000B290F" w:rsidRPr="004836F6">
        <w:rPr>
          <w:rFonts w:ascii="Bookman Old Style" w:hAnsi="Bookman Old Style"/>
          <w:sz w:val="27"/>
          <w:szCs w:val="27"/>
        </w:rPr>
        <w:t>, mientras</w:t>
      </w:r>
      <w:r w:rsidR="00087E1D" w:rsidRPr="004836F6">
        <w:rPr>
          <w:rFonts w:ascii="Bookman Old Style" w:hAnsi="Bookman Old Style"/>
          <w:sz w:val="27"/>
          <w:szCs w:val="27"/>
        </w:rPr>
        <w:t xml:space="preserve"> la </w:t>
      </w:r>
      <w:r w:rsidR="008D7C0F" w:rsidRPr="004836F6">
        <w:rPr>
          <w:rFonts w:ascii="Bookman Old Style" w:hAnsi="Bookman Old Style"/>
          <w:sz w:val="27"/>
          <w:szCs w:val="27"/>
        </w:rPr>
        <w:t>prolongación de dicho término</w:t>
      </w:r>
      <w:r w:rsidR="000B290F" w:rsidRPr="004836F6">
        <w:rPr>
          <w:rFonts w:ascii="Bookman Old Style" w:hAnsi="Bookman Old Style"/>
          <w:sz w:val="27"/>
          <w:szCs w:val="27"/>
        </w:rPr>
        <w:t xml:space="preserve">, </w:t>
      </w:r>
      <w:r w:rsidR="00087E1D" w:rsidRPr="004836F6">
        <w:rPr>
          <w:rFonts w:ascii="Bookman Old Style" w:hAnsi="Bookman Old Style"/>
          <w:sz w:val="27"/>
          <w:szCs w:val="27"/>
        </w:rPr>
        <w:t xml:space="preserve">según el </w:t>
      </w:r>
      <w:r w:rsidR="00C83C3C" w:rsidRPr="004836F6">
        <w:rPr>
          <w:rFonts w:ascii="Bookman Old Style" w:hAnsi="Bookman Old Style"/>
          <w:sz w:val="27"/>
          <w:szCs w:val="27"/>
        </w:rPr>
        <w:t xml:space="preserve">artículo 3º de la Ley 1786, debió disponerse </w:t>
      </w:r>
      <w:r w:rsidR="00087E1D" w:rsidRPr="004836F6">
        <w:rPr>
          <w:rFonts w:ascii="Bookman Old Style" w:hAnsi="Bookman Old Style"/>
          <w:sz w:val="27"/>
          <w:szCs w:val="27"/>
        </w:rPr>
        <w:t>antes de esa data</w:t>
      </w:r>
      <w:r w:rsidR="00C83C3C" w:rsidRPr="004836F6">
        <w:rPr>
          <w:rFonts w:ascii="Bookman Old Style" w:hAnsi="Bookman Old Style"/>
          <w:sz w:val="27"/>
          <w:szCs w:val="27"/>
        </w:rPr>
        <w:t xml:space="preserve">, </w:t>
      </w:r>
      <w:r w:rsidR="00087E1D" w:rsidRPr="004836F6">
        <w:rPr>
          <w:rFonts w:ascii="Bookman Old Style" w:hAnsi="Bookman Old Style"/>
          <w:sz w:val="27"/>
          <w:szCs w:val="27"/>
        </w:rPr>
        <w:t>no a partir de la entrada en v</w:t>
      </w:r>
      <w:r w:rsidR="00C83C3C" w:rsidRPr="004836F6">
        <w:rPr>
          <w:rFonts w:ascii="Bookman Old Style" w:hAnsi="Bookman Old Style"/>
          <w:sz w:val="27"/>
          <w:szCs w:val="27"/>
        </w:rPr>
        <w:t xml:space="preserve">igencia de la Ley 1786. </w:t>
      </w:r>
    </w:p>
    <w:p w:rsidR="00087E1D" w:rsidRPr="004836F6" w:rsidRDefault="00087E1D" w:rsidP="00CB7766">
      <w:pPr>
        <w:tabs>
          <w:tab w:val="left" w:pos="709"/>
        </w:tabs>
        <w:spacing w:after="0" w:line="336" w:lineRule="auto"/>
        <w:ind w:right="51"/>
        <w:jc w:val="both"/>
        <w:rPr>
          <w:rFonts w:ascii="Bookman Old Style" w:hAnsi="Bookman Old Style"/>
          <w:sz w:val="27"/>
          <w:szCs w:val="27"/>
        </w:rPr>
      </w:pPr>
    </w:p>
    <w:p w:rsidR="00220E85" w:rsidRPr="004836F6" w:rsidRDefault="00087E1D" w:rsidP="00CB7766">
      <w:pPr>
        <w:tabs>
          <w:tab w:val="left" w:pos="709"/>
        </w:tabs>
        <w:spacing w:after="0" w:line="336" w:lineRule="auto"/>
        <w:ind w:right="51"/>
        <w:jc w:val="both"/>
        <w:rPr>
          <w:rFonts w:ascii="Bookman Old Style" w:hAnsi="Bookman Old Style"/>
          <w:sz w:val="27"/>
          <w:szCs w:val="27"/>
        </w:rPr>
      </w:pPr>
      <w:r w:rsidRPr="004836F6">
        <w:rPr>
          <w:rFonts w:ascii="Bookman Old Style" w:hAnsi="Bookman Old Style"/>
          <w:sz w:val="27"/>
          <w:szCs w:val="27"/>
        </w:rPr>
        <w:tab/>
        <w:t xml:space="preserve">Por las razones expuestas, solicita a la Corte </w:t>
      </w:r>
      <w:r w:rsidR="002B2E82">
        <w:rPr>
          <w:rFonts w:ascii="Bookman Old Style" w:hAnsi="Bookman Old Style"/>
          <w:sz w:val="27"/>
          <w:szCs w:val="27"/>
        </w:rPr>
        <w:t>amparar</w:t>
      </w:r>
      <w:r w:rsidR="009940FC" w:rsidRPr="004836F6">
        <w:rPr>
          <w:rFonts w:ascii="Bookman Old Style" w:hAnsi="Bookman Old Style"/>
          <w:sz w:val="27"/>
          <w:szCs w:val="27"/>
        </w:rPr>
        <w:t xml:space="preserve"> los derechos funda</w:t>
      </w:r>
      <w:r w:rsidR="00D274B7" w:rsidRPr="004836F6">
        <w:rPr>
          <w:rFonts w:ascii="Bookman Old Style" w:hAnsi="Bookman Old Style"/>
          <w:sz w:val="27"/>
          <w:szCs w:val="27"/>
        </w:rPr>
        <w:t xml:space="preserve">mentales que estima conculcados; y, en consecuencia, </w:t>
      </w:r>
      <w:r w:rsidR="00200CB0">
        <w:rPr>
          <w:rFonts w:ascii="Bookman Old Style" w:hAnsi="Bookman Old Style"/>
          <w:sz w:val="27"/>
          <w:szCs w:val="27"/>
        </w:rPr>
        <w:t>revocar</w:t>
      </w:r>
      <w:r w:rsidR="009940FC" w:rsidRPr="004836F6">
        <w:rPr>
          <w:rFonts w:ascii="Bookman Old Style" w:hAnsi="Bookman Old Style"/>
          <w:sz w:val="27"/>
          <w:szCs w:val="27"/>
        </w:rPr>
        <w:t xml:space="preserve"> las </w:t>
      </w:r>
      <w:r w:rsidR="00220E85" w:rsidRPr="004836F6">
        <w:rPr>
          <w:rFonts w:ascii="Bookman Old Style" w:hAnsi="Bookman Old Style"/>
          <w:sz w:val="27"/>
          <w:szCs w:val="27"/>
        </w:rPr>
        <w:t xml:space="preserve">providencias </w:t>
      </w:r>
      <w:r w:rsidR="009940FC" w:rsidRPr="004836F6">
        <w:rPr>
          <w:rFonts w:ascii="Bookman Old Style" w:hAnsi="Bookman Old Style"/>
          <w:sz w:val="27"/>
          <w:szCs w:val="27"/>
        </w:rPr>
        <w:t xml:space="preserve">cuestionadas </w:t>
      </w:r>
      <w:r w:rsidR="00220E85" w:rsidRPr="004836F6">
        <w:rPr>
          <w:rFonts w:ascii="Bookman Old Style" w:hAnsi="Bookman Old Style"/>
          <w:sz w:val="27"/>
          <w:szCs w:val="27"/>
        </w:rPr>
        <w:t>y orden</w:t>
      </w:r>
      <w:r w:rsidR="00200CB0">
        <w:rPr>
          <w:rFonts w:ascii="Bookman Old Style" w:hAnsi="Bookman Old Style"/>
          <w:sz w:val="27"/>
          <w:szCs w:val="27"/>
        </w:rPr>
        <w:t>ar</w:t>
      </w:r>
      <w:r w:rsidR="00220E85" w:rsidRPr="004836F6">
        <w:rPr>
          <w:rFonts w:ascii="Bookman Old Style" w:hAnsi="Bookman Old Style"/>
          <w:sz w:val="27"/>
          <w:szCs w:val="27"/>
        </w:rPr>
        <w:t xml:space="preserve"> al Juzgado </w:t>
      </w:r>
      <w:r w:rsidR="009940FC" w:rsidRPr="004836F6">
        <w:rPr>
          <w:rFonts w:ascii="Bookman Old Style" w:hAnsi="Bookman Old Style"/>
          <w:sz w:val="27"/>
          <w:szCs w:val="27"/>
        </w:rPr>
        <w:t xml:space="preserve">1º </w:t>
      </w:r>
      <w:r w:rsidR="00220E85" w:rsidRPr="004836F6">
        <w:rPr>
          <w:rFonts w:ascii="Bookman Old Style" w:hAnsi="Bookman Old Style"/>
          <w:sz w:val="27"/>
          <w:szCs w:val="27"/>
        </w:rPr>
        <w:t xml:space="preserve">Penal del Circuito Especializado de Antioquia que proceda a sustituir la </w:t>
      </w:r>
      <w:r w:rsidR="009940FC" w:rsidRPr="004836F6">
        <w:rPr>
          <w:rFonts w:ascii="Bookman Old Style" w:hAnsi="Bookman Old Style"/>
          <w:sz w:val="27"/>
          <w:szCs w:val="27"/>
        </w:rPr>
        <w:t>detención</w:t>
      </w:r>
      <w:r w:rsidR="00220E85" w:rsidRPr="004836F6">
        <w:rPr>
          <w:rFonts w:ascii="Bookman Old Style" w:hAnsi="Bookman Old Style"/>
          <w:sz w:val="27"/>
          <w:szCs w:val="27"/>
        </w:rPr>
        <w:t xml:space="preserve"> impuesta </w:t>
      </w:r>
      <w:r w:rsidR="009940FC" w:rsidRPr="004836F6">
        <w:rPr>
          <w:rFonts w:ascii="Bookman Old Style" w:hAnsi="Bookman Old Style"/>
          <w:sz w:val="27"/>
          <w:szCs w:val="27"/>
        </w:rPr>
        <w:t>a SANTIAGO URIBE VÉLEZ</w:t>
      </w:r>
      <w:r w:rsidR="00220E85" w:rsidRPr="004836F6">
        <w:rPr>
          <w:rFonts w:ascii="Bookman Old Style" w:hAnsi="Bookman Old Style"/>
          <w:sz w:val="27"/>
          <w:szCs w:val="27"/>
        </w:rPr>
        <w:t>, por una</w:t>
      </w:r>
      <w:r w:rsidR="009940FC" w:rsidRPr="004836F6">
        <w:rPr>
          <w:rFonts w:ascii="Bookman Old Style" w:hAnsi="Bookman Old Style"/>
          <w:sz w:val="27"/>
          <w:szCs w:val="27"/>
        </w:rPr>
        <w:t xml:space="preserve"> medida de aseguramiento</w:t>
      </w:r>
      <w:r w:rsidR="00220E85" w:rsidRPr="004836F6">
        <w:rPr>
          <w:rFonts w:ascii="Bookman Old Style" w:hAnsi="Bookman Old Style"/>
          <w:sz w:val="27"/>
          <w:szCs w:val="27"/>
        </w:rPr>
        <w:t xml:space="preserve"> no privativa de la libertad.</w:t>
      </w:r>
    </w:p>
    <w:p w:rsidR="00F865D5" w:rsidRPr="004836F6" w:rsidRDefault="00F865D5" w:rsidP="00CB7766">
      <w:pPr>
        <w:tabs>
          <w:tab w:val="left" w:pos="709"/>
        </w:tabs>
        <w:spacing w:after="0" w:line="336" w:lineRule="auto"/>
        <w:ind w:right="51"/>
        <w:jc w:val="center"/>
        <w:rPr>
          <w:rFonts w:ascii="Bookman Old Style" w:hAnsi="Bookman Old Style"/>
          <w:b/>
          <w:sz w:val="27"/>
          <w:szCs w:val="27"/>
        </w:rPr>
      </w:pPr>
    </w:p>
    <w:p w:rsidR="00DD791B" w:rsidRPr="004836F6" w:rsidRDefault="00FD3045" w:rsidP="00CB7766">
      <w:pPr>
        <w:tabs>
          <w:tab w:val="left" w:pos="709"/>
        </w:tabs>
        <w:spacing w:after="0" w:line="336" w:lineRule="auto"/>
        <w:ind w:right="51"/>
        <w:jc w:val="center"/>
        <w:rPr>
          <w:rFonts w:ascii="Bookman Old Style" w:hAnsi="Bookman Old Style"/>
          <w:b/>
          <w:sz w:val="27"/>
          <w:szCs w:val="27"/>
        </w:rPr>
      </w:pPr>
      <w:r w:rsidRPr="004836F6">
        <w:rPr>
          <w:rFonts w:ascii="Bookman Old Style" w:hAnsi="Bookman Old Style"/>
          <w:b/>
          <w:sz w:val="27"/>
          <w:szCs w:val="27"/>
        </w:rPr>
        <w:t>TR</w:t>
      </w:r>
      <w:r w:rsidR="00F62DE3" w:rsidRPr="004836F6">
        <w:rPr>
          <w:rFonts w:ascii="Bookman Old Style" w:hAnsi="Bookman Old Style"/>
          <w:b/>
          <w:sz w:val="27"/>
          <w:szCs w:val="27"/>
        </w:rPr>
        <w:t>ÁMITE Y RESPUESTA</w:t>
      </w:r>
      <w:r w:rsidR="005826E9" w:rsidRPr="004836F6">
        <w:rPr>
          <w:rFonts w:ascii="Bookman Old Style" w:hAnsi="Bookman Old Style"/>
          <w:b/>
          <w:sz w:val="27"/>
          <w:szCs w:val="27"/>
        </w:rPr>
        <w:t>S  A LA DEMANDA</w:t>
      </w:r>
    </w:p>
    <w:p w:rsidR="00000F8D" w:rsidRPr="004836F6" w:rsidRDefault="00000F8D" w:rsidP="00CB7766">
      <w:pPr>
        <w:spacing w:after="0" w:line="336" w:lineRule="auto"/>
        <w:rPr>
          <w:rFonts w:ascii="Bookman Old Style" w:hAnsi="Bookman Old Style"/>
          <w:sz w:val="27"/>
          <w:szCs w:val="27"/>
          <w:lang w:val="x-none" w:eastAsia="x-none"/>
        </w:rPr>
      </w:pPr>
    </w:p>
    <w:p w:rsidR="00FF4852" w:rsidRPr="004836F6" w:rsidRDefault="008C5B03" w:rsidP="00CB7766">
      <w:pPr>
        <w:spacing w:after="0" w:line="336" w:lineRule="auto"/>
        <w:ind w:firstLine="708"/>
        <w:jc w:val="both"/>
        <w:rPr>
          <w:rFonts w:ascii="Bookman Old Style" w:hAnsi="Bookman Old Style"/>
          <w:sz w:val="27"/>
          <w:szCs w:val="27"/>
        </w:rPr>
      </w:pPr>
      <w:r w:rsidRPr="004836F6">
        <w:rPr>
          <w:rFonts w:ascii="Bookman Old Style" w:hAnsi="Bookman Old Style"/>
          <w:sz w:val="27"/>
          <w:szCs w:val="27"/>
        </w:rPr>
        <w:t>En calidad de demandados, fueron</w:t>
      </w:r>
      <w:r w:rsidR="001F5E8B" w:rsidRPr="004836F6">
        <w:rPr>
          <w:rFonts w:ascii="Bookman Old Style" w:hAnsi="Bookman Old Style"/>
          <w:sz w:val="27"/>
          <w:szCs w:val="27"/>
        </w:rPr>
        <w:t xml:space="preserve"> vinculados la Sala Penal del Tribunal Superior y el Juzgado Primero </w:t>
      </w:r>
      <w:r w:rsidRPr="004836F6">
        <w:rPr>
          <w:rFonts w:ascii="Bookman Old Style" w:hAnsi="Bookman Old Style"/>
          <w:sz w:val="27"/>
          <w:szCs w:val="27"/>
        </w:rPr>
        <w:t>1º</w:t>
      </w:r>
      <w:r w:rsidR="001F5E8B" w:rsidRPr="004836F6">
        <w:rPr>
          <w:rFonts w:ascii="Bookman Old Style" w:hAnsi="Bookman Old Style"/>
          <w:sz w:val="27"/>
          <w:szCs w:val="27"/>
        </w:rPr>
        <w:t xml:space="preserve"> del Circuito Especializado, ambos de Antioquia</w:t>
      </w:r>
      <w:r w:rsidRPr="004836F6">
        <w:rPr>
          <w:rFonts w:ascii="Bookman Old Style" w:hAnsi="Bookman Old Style"/>
          <w:sz w:val="27"/>
          <w:szCs w:val="27"/>
        </w:rPr>
        <w:t>. A título de terceros interesados, se convocó al contradictorio</w:t>
      </w:r>
      <w:r w:rsidR="001F5E8B" w:rsidRPr="004836F6">
        <w:rPr>
          <w:rFonts w:ascii="Bookman Old Style" w:hAnsi="Bookman Old Style"/>
          <w:sz w:val="27"/>
          <w:szCs w:val="27"/>
        </w:rPr>
        <w:t xml:space="preserve"> </w:t>
      </w:r>
      <w:r w:rsidR="00337B1E" w:rsidRPr="004836F6">
        <w:rPr>
          <w:rFonts w:ascii="Bookman Old Style" w:hAnsi="Bookman Old Style"/>
          <w:sz w:val="27"/>
          <w:szCs w:val="27"/>
        </w:rPr>
        <w:t xml:space="preserve">a </w:t>
      </w:r>
      <w:r w:rsidR="001F5E8B" w:rsidRPr="004836F6">
        <w:rPr>
          <w:rFonts w:ascii="Bookman Old Style" w:hAnsi="Bookman Old Style"/>
          <w:sz w:val="27"/>
          <w:szCs w:val="27"/>
        </w:rPr>
        <w:t xml:space="preserve">la Fiscalía 10ª </w:t>
      </w:r>
      <w:r w:rsidR="00964D2A" w:rsidRPr="004836F6">
        <w:rPr>
          <w:rFonts w:ascii="Bookman Old Style" w:hAnsi="Bookman Old Style"/>
          <w:sz w:val="27"/>
          <w:szCs w:val="27"/>
        </w:rPr>
        <w:t xml:space="preserve">Delegada </w:t>
      </w:r>
      <w:r w:rsidR="001F5E8B" w:rsidRPr="004836F6">
        <w:rPr>
          <w:rFonts w:ascii="Bookman Old Style" w:hAnsi="Bookman Old Style"/>
          <w:sz w:val="27"/>
          <w:szCs w:val="27"/>
        </w:rPr>
        <w:t xml:space="preserve">ante la Corte Suprema de Justicia, la Procuraduría </w:t>
      </w:r>
      <w:r w:rsidR="00337B1E" w:rsidRPr="004836F6">
        <w:rPr>
          <w:rFonts w:ascii="Bookman Old Style" w:hAnsi="Bookman Old Style"/>
          <w:sz w:val="27"/>
          <w:szCs w:val="27"/>
        </w:rPr>
        <w:t>1ª d</w:t>
      </w:r>
      <w:r w:rsidR="001F5E8B" w:rsidRPr="004836F6">
        <w:rPr>
          <w:rFonts w:ascii="Bookman Old Style" w:hAnsi="Bookman Old Style"/>
          <w:sz w:val="27"/>
          <w:szCs w:val="27"/>
        </w:rPr>
        <w:t>elegada para la Investigación y el Juzgamiento Penal, los Procuradores 114 y 125 Judiciales II en lo penal de Medellín, los apoderados de la parte civil y el apoderado de víctimas</w:t>
      </w:r>
      <w:r w:rsidR="00FF4852" w:rsidRPr="004836F6">
        <w:rPr>
          <w:rFonts w:ascii="Bookman Old Style" w:hAnsi="Bookman Old Style"/>
          <w:sz w:val="27"/>
          <w:szCs w:val="27"/>
        </w:rPr>
        <w:t>.</w:t>
      </w:r>
    </w:p>
    <w:p w:rsidR="00147F80" w:rsidRPr="004836F6" w:rsidRDefault="00147F80" w:rsidP="00CB7766">
      <w:pPr>
        <w:spacing w:after="0" w:line="336" w:lineRule="auto"/>
        <w:ind w:firstLine="708"/>
        <w:jc w:val="both"/>
        <w:rPr>
          <w:rFonts w:ascii="Bookman Old Style" w:hAnsi="Bookman Old Style"/>
          <w:sz w:val="27"/>
          <w:szCs w:val="27"/>
        </w:rPr>
      </w:pPr>
      <w:r w:rsidRPr="004836F6">
        <w:rPr>
          <w:rFonts w:ascii="Bookman Old Style" w:hAnsi="Bookman Old Style"/>
          <w:sz w:val="27"/>
          <w:szCs w:val="27"/>
        </w:rPr>
        <w:lastRenderedPageBreak/>
        <w:t>Dentro del correspondiente término de traslado se pronunciaron los siguientes involucrados:</w:t>
      </w:r>
    </w:p>
    <w:p w:rsidR="00147F80" w:rsidRPr="004836F6" w:rsidRDefault="00147F80" w:rsidP="00CB7766">
      <w:pPr>
        <w:spacing w:after="0" w:line="336" w:lineRule="auto"/>
        <w:ind w:firstLine="708"/>
        <w:jc w:val="both"/>
        <w:rPr>
          <w:rFonts w:ascii="Bookman Old Style" w:hAnsi="Bookman Old Style"/>
          <w:sz w:val="27"/>
          <w:szCs w:val="27"/>
        </w:rPr>
      </w:pPr>
    </w:p>
    <w:p w:rsidR="00147F80" w:rsidRPr="004836F6" w:rsidRDefault="00147F80" w:rsidP="00CB7766">
      <w:pPr>
        <w:spacing w:after="0" w:line="336" w:lineRule="auto"/>
        <w:ind w:firstLine="708"/>
        <w:jc w:val="both"/>
        <w:rPr>
          <w:rFonts w:ascii="Bookman Old Style" w:hAnsi="Bookman Old Style"/>
          <w:sz w:val="27"/>
          <w:szCs w:val="27"/>
        </w:rPr>
      </w:pPr>
      <w:r w:rsidRPr="004836F6">
        <w:rPr>
          <w:rFonts w:ascii="Bookman Old Style" w:hAnsi="Bookman Old Style"/>
          <w:sz w:val="27"/>
          <w:szCs w:val="27"/>
        </w:rPr>
        <w:t xml:space="preserve">1. El Juzgado </w:t>
      </w:r>
      <w:r w:rsidR="005826E9" w:rsidRPr="004836F6">
        <w:rPr>
          <w:rFonts w:ascii="Bookman Old Style" w:hAnsi="Bookman Old Style"/>
          <w:sz w:val="27"/>
          <w:szCs w:val="27"/>
        </w:rPr>
        <w:t>1º</w:t>
      </w:r>
      <w:r w:rsidRPr="004836F6">
        <w:rPr>
          <w:rFonts w:ascii="Bookman Old Style" w:hAnsi="Bookman Old Style"/>
          <w:sz w:val="27"/>
          <w:szCs w:val="27"/>
        </w:rPr>
        <w:t xml:space="preserve"> Penal del Circui</w:t>
      </w:r>
      <w:r w:rsidR="005826E9" w:rsidRPr="004836F6">
        <w:rPr>
          <w:rFonts w:ascii="Bookman Old Style" w:hAnsi="Bookman Old Style"/>
          <w:sz w:val="27"/>
          <w:szCs w:val="27"/>
        </w:rPr>
        <w:t xml:space="preserve">to Especializado de Antioquia allegó </w:t>
      </w:r>
      <w:r w:rsidRPr="004836F6">
        <w:rPr>
          <w:rFonts w:ascii="Bookman Old Style" w:hAnsi="Bookman Old Style"/>
          <w:sz w:val="27"/>
          <w:szCs w:val="27"/>
        </w:rPr>
        <w:t>copia de las providencias cuestionadas</w:t>
      </w:r>
      <w:r w:rsidR="005826E9" w:rsidRPr="004836F6">
        <w:rPr>
          <w:rFonts w:ascii="Bookman Old Style" w:hAnsi="Bookman Old Style"/>
          <w:sz w:val="27"/>
          <w:szCs w:val="27"/>
        </w:rPr>
        <w:t>, así como</w:t>
      </w:r>
      <w:r w:rsidRPr="004836F6">
        <w:rPr>
          <w:rFonts w:ascii="Bookman Old Style" w:hAnsi="Bookman Old Style"/>
          <w:sz w:val="27"/>
          <w:szCs w:val="27"/>
        </w:rPr>
        <w:t xml:space="preserve"> constancia de los traslados surtidos frente a la solicitud de revocatoria de medida de aseguramiento y el recurso de apelación que formuló el defensor de URIBE VÉLEZ contra el auto que negó tal petición.</w:t>
      </w:r>
    </w:p>
    <w:p w:rsidR="00147F80" w:rsidRPr="004836F6" w:rsidRDefault="00147F80" w:rsidP="00CB7766">
      <w:pPr>
        <w:spacing w:after="0" w:line="336" w:lineRule="auto"/>
        <w:ind w:firstLine="708"/>
        <w:jc w:val="both"/>
        <w:rPr>
          <w:rFonts w:ascii="Bookman Old Style" w:hAnsi="Bookman Old Style"/>
          <w:sz w:val="27"/>
          <w:szCs w:val="27"/>
        </w:rPr>
      </w:pPr>
    </w:p>
    <w:p w:rsidR="00147F80" w:rsidRPr="004836F6" w:rsidRDefault="00147F80" w:rsidP="00CB7766">
      <w:pPr>
        <w:spacing w:after="0" w:line="336" w:lineRule="auto"/>
        <w:ind w:firstLine="708"/>
        <w:jc w:val="both"/>
        <w:rPr>
          <w:rFonts w:ascii="Bookman Old Style" w:hAnsi="Bookman Old Style"/>
          <w:sz w:val="27"/>
          <w:szCs w:val="27"/>
        </w:rPr>
      </w:pPr>
      <w:r w:rsidRPr="004836F6">
        <w:rPr>
          <w:rFonts w:ascii="Bookman Old Style" w:hAnsi="Bookman Old Style"/>
          <w:sz w:val="27"/>
          <w:szCs w:val="27"/>
        </w:rPr>
        <w:t>Afirmó, luego de hacer un recuento de la actuación a su cargo, que el trámite se ha llevado a cabo con respeto de las garantías fundamentales del demandante y pide, por esa razón, que se niegue el amparo invocado.</w:t>
      </w:r>
    </w:p>
    <w:p w:rsidR="00147F80" w:rsidRPr="004836F6" w:rsidRDefault="00147F80" w:rsidP="00CB7766">
      <w:pPr>
        <w:spacing w:after="0" w:line="336" w:lineRule="auto"/>
        <w:ind w:firstLine="708"/>
        <w:jc w:val="both"/>
        <w:rPr>
          <w:rFonts w:ascii="Bookman Old Style" w:hAnsi="Bookman Old Style"/>
          <w:sz w:val="27"/>
          <w:szCs w:val="27"/>
        </w:rPr>
      </w:pPr>
    </w:p>
    <w:p w:rsidR="000C16FB" w:rsidRPr="004836F6" w:rsidRDefault="00147F80" w:rsidP="00CB7766">
      <w:pPr>
        <w:spacing w:after="0" w:line="336" w:lineRule="auto"/>
        <w:ind w:firstLine="708"/>
        <w:jc w:val="both"/>
        <w:rPr>
          <w:rFonts w:ascii="Bookman Old Style" w:hAnsi="Bookman Old Style"/>
          <w:sz w:val="27"/>
          <w:szCs w:val="27"/>
        </w:rPr>
      </w:pPr>
      <w:r w:rsidRPr="004836F6">
        <w:rPr>
          <w:rFonts w:ascii="Bookman Old Style" w:hAnsi="Bookman Old Style"/>
          <w:sz w:val="27"/>
          <w:szCs w:val="27"/>
        </w:rPr>
        <w:t xml:space="preserve">2. </w:t>
      </w:r>
      <w:r w:rsidR="00254631" w:rsidRPr="004836F6">
        <w:rPr>
          <w:rFonts w:ascii="Bookman Old Style" w:hAnsi="Bookman Old Style"/>
          <w:sz w:val="27"/>
          <w:szCs w:val="27"/>
        </w:rPr>
        <w:t>Por su parte, la Sala Penal de</w:t>
      </w:r>
      <w:r w:rsidR="000C16FB" w:rsidRPr="004836F6">
        <w:rPr>
          <w:rFonts w:ascii="Bookman Old Style" w:hAnsi="Bookman Old Style"/>
          <w:sz w:val="27"/>
          <w:szCs w:val="27"/>
        </w:rPr>
        <w:t xml:space="preserve">l </w:t>
      </w:r>
      <w:r w:rsidR="00254631" w:rsidRPr="004836F6">
        <w:rPr>
          <w:rFonts w:ascii="Bookman Old Style" w:hAnsi="Bookman Old Style"/>
          <w:sz w:val="27"/>
          <w:szCs w:val="27"/>
        </w:rPr>
        <w:t>Tribunal Superior de Antioquia expuso que los planteamientos del</w:t>
      </w:r>
      <w:r w:rsidR="000C16FB" w:rsidRPr="004836F6">
        <w:rPr>
          <w:rFonts w:ascii="Bookman Old Style" w:hAnsi="Bookman Old Style"/>
          <w:sz w:val="27"/>
          <w:szCs w:val="27"/>
        </w:rPr>
        <w:t xml:space="preserve"> demandante en el escrito de tutela fueron abordados en el auto que r</w:t>
      </w:r>
      <w:r w:rsidR="00254631" w:rsidRPr="004836F6">
        <w:rPr>
          <w:rFonts w:ascii="Bookman Old Style" w:hAnsi="Bookman Old Style"/>
          <w:sz w:val="27"/>
          <w:szCs w:val="27"/>
        </w:rPr>
        <w:t xml:space="preserve">esolvió el recurso de apelación contra la providencia que negó la sustitución de la detención preventiva. Ello, a su juicio, significa que el señor SANTIAGO </w:t>
      </w:r>
      <w:r w:rsidR="000C16FB" w:rsidRPr="004836F6">
        <w:rPr>
          <w:rFonts w:ascii="Bookman Old Style" w:hAnsi="Bookman Old Style"/>
          <w:sz w:val="27"/>
          <w:szCs w:val="27"/>
        </w:rPr>
        <w:t>URIBE acude a la tutela con el único fin de convertirla en una instancia</w:t>
      </w:r>
      <w:r w:rsidR="00254631" w:rsidRPr="004836F6">
        <w:rPr>
          <w:rFonts w:ascii="Bookman Old Style" w:hAnsi="Bookman Old Style"/>
          <w:sz w:val="27"/>
          <w:szCs w:val="27"/>
        </w:rPr>
        <w:t xml:space="preserve"> ordinaria</w:t>
      </w:r>
      <w:r w:rsidR="000C16FB" w:rsidRPr="004836F6">
        <w:rPr>
          <w:rFonts w:ascii="Bookman Old Style" w:hAnsi="Bookman Old Style"/>
          <w:sz w:val="27"/>
          <w:szCs w:val="27"/>
        </w:rPr>
        <w:t xml:space="preserve"> adicional, para discutir aspectos ya dilucidados por el cauce ordinario.</w:t>
      </w:r>
      <w:r w:rsidR="00096FC9" w:rsidRPr="004836F6">
        <w:rPr>
          <w:rFonts w:ascii="Bookman Old Style" w:hAnsi="Bookman Old Style"/>
          <w:sz w:val="27"/>
          <w:szCs w:val="27"/>
        </w:rPr>
        <w:t xml:space="preserve"> Como, en su criterio, </w:t>
      </w:r>
      <w:r w:rsidR="00C74AF9" w:rsidRPr="004836F6">
        <w:rPr>
          <w:rFonts w:ascii="Bookman Old Style" w:hAnsi="Bookman Old Style"/>
          <w:sz w:val="27"/>
          <w:szCs w:val="27"/>
        </w:rPr>
        <w:t>tal</w:t>
      </w:r>
      <w:r w:rsidR="00DE4B5A" w:rsidRPr="004836F6">
        <w:rPr>
          <w:rFonts w:ascii="Bookman Old Style" w:hAnsi="Bookman Old Style"/>
          <w:sz w:val="27"/>
          <w:szCs w:val="27"/>
        </w:rPr>
        <w:t xml:space="preserve"> no es la finalidad de la acción de tutela</w:t>
      </w:r>
      <w:r w:rsidR="00096FC9" w:rsidRPr="004836F6">
        <w:rPr>
          <w:rFonts w:ascii="Bookman Old Style" w:hAnsi="Bookman Old Style"/>
          <w:sz w:val="27"/>
          <w:szCs w:val="27"/>
        </w:rPr>
        <w:t xml:space="preserve"> y esa c</w:t>
      </w:r>
      <w:r w:rsidR="00DE4B5A" w:rsidRPr="004836F6">
        <w:rPr>
          <w:rFonts w:ascii="Bookman Old Style" w:hAnsi="Bookman Old Style"/>
          <w:sz w:val="27"/>
          <w:szCs w:val="27"/>
        </w:rPr>
        <w:t>olegiatura no vulneró las garantías del accionante, pidió que se declare improcedente la demanda.</w:t>
      </w:r>
    </w:p>
    <w:p w:rsidR="00DE4B5A" w:rsidRPr="004836F6" w:rsidRDefault="00DE4B5A" w:rsidP="00CB7766">
      <w:pPr>
        <w:spacing w:after="0" w:line="336" w:lineRule="auto"/>
        <w:ind w:firstLine="708"/>
        <w:jc w:val="both"/>
        <w:rPr>
          <w:rFonts w:ascii="Bookman Old Style" w:hAnsi="Bookman Old Style"/>
          <w:sz w:val="27"/>
          <w:szCs w:val="27"/>
        </w:rPr>
      </w:pPr>
    </w:p>
    <w:p w:rsidR="003C40BB" w:rsidRPr="004836F6" w:rsidRDefault="00195CA3" w:rsidP="00CB7766">
      <w:pPr>
        <w:spacing w:after="0" w:line="336" w:lineRule="auto"/>
        <w:jc w:val="both"/>
        <w:rPr>
          <w:rFonts w:ascii="Bookman Old Style" w:hAnsi="Bookman Old Style"/>
          <w:sz w:val="27"/>
          <w:szCs w:val="27"/>
        </w:rPr>
      </w:pPr>
      <w:r w:rsidRPr="004836F6">
        <w:rPr>
          <w:rFonts w:ascii="Bookman Old Style" w:hAnsi="Bookman Old Style"/>
          <w:b/>
          <w:sz w:val="27"/>
          <w:szCs w:val="27"/>
        </w:rPr>
        <w:tab/>
      </w:r>
      <w:r w:rsidRPr="004836F6">
        <w:rPr>
          <w:rFonts w:ascii="Bookman Old Style" w:hAnsi="Bookman Old Style"/>
          <w:sz w:val="27"/>
          <w:szCs w:val="27"/>
        </w:rPr>
        <w:t>3</w:t>
      </w:r>
      <w:r w:rsidR="007032F2" w:rsidRPr="004836F6">
        <w:rPr>
          <w:rFonts w:ascii="Bookman Old Style" w:hAnsi="Bookman Old Style"/>
          <w:sz w:val="27"/>
          <w:szCs w:val="27"/>
        </w:rPr>
        <w:t>.</w:t>
      </w:r>
      <w:r w:rsidR="00DE4B5A" w:rsidRPr="004836F6">
        <w:rPr>
          <w:rFonts w:ascii="Bookman Old Style" w:hAnsi="Bookman Old Style"/>
          <w:sz w:val="27"/>
          <w:szCs w:val="27"/>
        </w:rPr>
        <w:t xml:space="preserve"> </w:t>
      </w:r>
      <w:r w:rsidR="003C40BB" w:rsidRPr="004836F6">
        <w:rPr>
          <w:rFonts w:ascii="Bookman Old Style" w:hAnsi="Bookman Old Style"/>
          <w:sz w:val="27"/>
          <w:szCs w:val="27"/>
        </w:rPr>
        <w:t xml:space="preserve">El Procurador 114 Judicial II Penal </w:t>
      </w:r>
      <w:r w:rsidRPr="004836F6">
        <w:rPr>
          <w:rFonts w:ascii="Bookman Old Style" w:hAnsi="Bookman Old Style"/>
          <w:sz w:val="27"/>
          <w:szCs w:val="27"/>
        </w:rPr>
        <w:t xml:space="preserve">sostiene que </w:t>
      </w:r>
      <w:r w:rsidR="003C40BB" w:rsidRPr="004836F6">
        <w:rPr>
          <w:rFonts w:ascii="Bookman Old Style" w:hAnsi="Bookman Old Style"/>
          <w:sz w:val="27"/>
          <w:szCs w:val="27"/>
        </w:rPr>
        <w:t xml:space="preserve">los integrantes de la Sala de Casación Penal </w:t>
      </w:r>
      <w:r w:rsidRPr="004836F6">
        <w:rPr>
          <w:rFonts w:ascii="Bookman Old Style" w:hAnsi="Bookman Old Style"/>
          <w:sz w:val="27"/>
          <w:szCs w:val="27"/>
        </w:rPr>
        <w:t>están</w:t>
      </w:r>
      <w:r w:rsidRPr="004836F6">
        <w:rPr>
          <w:rFonts w:ascii="Bookman Old Style" w:hAnsi="Bookman Old Style"/>
          <w:i/>
          <w:sz w:val="27"/>
          <w:szCs w:val="27"/>
        </w:rPr>
        <w:t xml:space="preserve"> “</w:t>
      </w:r>
      <w:r w:rsidR="003C40BB" w:rsidRPr="004836F6">
        <w:rPr>
          <w:rFonts w:ascii="Bookman Old Style" w:hAnsi="Bookman Old Style"/>
          <w:i/>
          <w:sz w:val="27"/>
          <w:szCs w:val="27"/>
        </w:rPr>
        <w:t>impedidos para conocer de la demanda de tutela que ahora</w:t>
      </w:r>
      <w:r w:rsidRPr="004836F6">
        <w:rPr>
          <w:rFonts w:ascii="Bookman Old Style" w:hAnsi="Bookman Old Style"/>
          <w:i/>
          <w:sz w:val="27"/>
          <w:szCs w:val="27"/>
        </w:rPr>
        <w:t xml:space="preserve"> concita la atención de la Sala”</w:t>
      </w:r>
      <w:r w:rsidRPr="004836F6">
        <w:rPr>
          <w:rFonts w:ascii="Bookman Old Style" w:hAnsi="Bookman Old Style"/>
          <w:sz w:val="27"/>
          <w:szCs w:val="27"/>
        </w:rPr>
        <w:t xml:space="preserve">. A su modo de ver, </w:t>
      </w:r>
      <w:r w:rsidR="003C40BB" w:rsidRPr="004836F6">
        <w:rPr>
          <w:rFonts w:ascii="Bookman Old Style" w:hAnsi="Bookman Old Style"/>
          <w:sz w:val="27"/>
          <w:szCs w:val="27"/>
        </w:rPr>
        <w:t xml:space="preserve">al proferir la decisión CSJ </w:t>
      </w:r>
      <w:r w:rsidR="003C40BB" w:rsidRPr="004836F6">
        <w:rPr>
          <w:rFonts w:ascii="Bookman Old Style" w:hAnsi="Bookman Old Style"/>
          <w:sz w:val="27"/>
          <w:szCs w:val="27"/>
        </w:rPr>
        <w:lastRenderedPageBreak/>
        <w:t xml:space="preserve">AP4711 del 24 de julio de 2017, </w:t>
      </w:r>
      <w:r w:rsidRPr="004836F6">
        <w:rPr>
          <w:rFonts w:ascii="Bookman Old Style" w:hAnsi="Bookman Old Style"/>
          <w:sz w:val="27"/>
          <w:szCs w:val="27"/>
        </w:rPr>
        <w:t xml:space="preserve">los magistrados </w:t>
      </w:r>
      <w:r w:rsidR="003C40BB" w:rsidRPr="004836F6">
        <w:rPr>
          <w:rFonts w:ascii="Bookman Old Style" w:hAnsi="Bookman Old Style"/>
          <w:sz w:val="27"/>
          <w:szCs w:val="27"/>
        </w:rPr>
        <w:t xml:space="preserve">emitieron una opinión sobre la aplicación favorable del artículo 1º de la Ley 1786 de 2016, a casos tramitados por la Ley 600 de 2000, siendo esa una </w:t>
      </w:r>
      <w:r w:rsidRPr="004836F6">
        <w:rPr>
          <w:rFonts w:ascii="Bookman Old Style" w:hAnsi="Bookman Old Style"/>
          <w:sz w:val="27"/>
          <w:szCs w:val="27"/>
        </w:rPr>
        <w:t>“</w:t>
      </w:r>
      <w:r w:rsidR="003C40BB" w:rsidRPr="004836F6">
        <w:rPr>
          <w:rFonts w:ascii="Bookman Old Style" w:hAnsi="Bookman Old Style"/>
          <w:i/>
          <w:sz w:val="27"/>
          <w:szCs w:val="27"/>
        </w:rPr>
        <w:t>antítesis</w:t>
      </w:r>
      <w:r w:rsidRPr="004836F6">
        <w:rPr>
          <w:rFonts w:ascii="Bookman Old Style" w:hAnsi="Bookman Old Style"/>
          <w:sz w:val="27"/>
          <w:szCs w:val="27"/>
        </w:rPr>
        <w:t>”</w:t>
      </w:r>
      <w:r w:rsidR="003C40BB" w:rsidRPr="004836F6">
        <w:rPr>
          <w:rFonts w:ascii="Bookman Old Style" w:hAnsi="Bookman Old Style"/>
          <w:sz w:val="27"/>
          <w:szCs w:val="27"/>
        </w:rPr>
        <w:t xml:space="preserve"> de su postura</w:t>
      </w:r>
      <w:r w:rsidRPr="004836F6">
        <w:rPr>
          <w:rFonts w:ascii="Bookman Old Style" w:hAnsi="Bookman Old Style"/>
          <w:sz w:val="27"/>
          <w:szCs w:val="27"/>
        </w:rPr>
        <w:t xml:space="preserve">, </w:t>
      </w:r>
      <w:r w:rsidR="003C40BB" w:rsidRPr="004836F6">
        <w:rPr>
          <w:rFonts w:ascii="Bookman Old Style" w:hAnsi="Bookman Old Style"/>
          <w:sz w:val="27"/>
          <w:szCs w:val="27"/>
        </w:rPr>
        <w:t xml:space="preserve">que considera </w:t>
      </w:r>
      <w:r w:rsidR="003C40BB" w:rsidRPr="004836F6">
        <w:rPr>
          <w:rFonts w:ascii="Bookman Old Style" w:hAnsi="Bookman Old Style"/>
          <w:i/>
          <w:sz w:val="27"/>
          <w:szCs w:val="27"/>
        </w:rPr>
        <w:t>«equivocada»</w:t>
      </w:r>
      <w:r w:rsidR="003C40BB" w:rsidRPr="004836F6">
        <w:rPr>
          <w:rFonts w:ascii="Bookman Old Style" w:hAnsi="Bookman Old Style"/>
          <w:sz w:val="27"/>
          <w:szCs w:val="27"/>
        </w:rPr>
        <w:t>.</w:t>
      </w:r>
    </w:p>
    <w:p w:rsidR="003C40BB" w:rsidRPr="004836F6" w:rsidRDefault="003C40BB" w:rsidP="00CB7766">
      <w:pPr>
        <w:spacing w:after="0" w:line="336" w:lineRule="auto"/>
        <w:jc w:val="both"/>
        <w:rPr>
          <w:rFonts w:ascii="Bookman Old Style" w:hAnsi="Bookman Old Style"/>
          <w:sz w:val="27"/>
          <w:szCs w:val="27"/>
        </w:rPr>
      </w:pPr>
    </w:p>
    <w:p w:rsidR="003C40BB" w:rsidRPr="004836F6" w:rsidRDefault="00195CA3" w:rsidP="00CB7766">
      <w:pPr>
        <w:spacing w:after="0" w:line="336" w:lineRule="auto"/>
        <w:jc w:val="both"/>
        <w:rPr>
          <w:rFonts w:ascii="Bookman Old Style" w:hAnsi="Bookman Old Style"/>
          <w:sz w:val="27"/>
          <w:szCs w:val="27"/>
        </w:rPr>
      </w:pPr>
      <w:r w:rsidRPr="004836F6">
        <w:rPr>
          <w:rFonts w:ascii="Bookman Old Style" w:hAnsi="Bookman Old Style"/>
          <w:sz w:val="27"/>
          <w:szCs w:val="27"/>
        </w:rPr>
        <w:tab/>
      </w:r>
      <w:r w:rsidR="003C40BB" w:rsidRPr="004836F6">
        <w:rPr>
          <w:rFonts w:ascii="Bookman Old Style" w:hAnsi="Bookman Old Style"/>
          <w:sz w:val="27"/>
          <w:szCs w:val="27"/>
        </w:rPr>
        <w:t>Señala, al adentrarse en el estudio de fondo del asunto</w:t>
      </w:r>
      <w:r w:rsidR="002502D3" w:rsidRPr="004836F6">
        <w:rPr>
          <w:rFonts w:ascii="Bookman Old Style" w:hAnsi="Bookman Old Style"/>
          <w:sz w:val="27"/>
          <w:szCs w:val="27"/>
        </w:rPr>
        <w:t xml:space="preserve"> de relevancia constitucional</w:t>
      </w:r>
      <w:r w:rsidR="003C40BB" w:rsidRPr="004836F6">
        <w:rPr>
          <w:rFonts w:ascii="Bookman Old Style" w:hAnsi="Bookman Old Style"/>
          <w:sz w:val="27"/>
          <w:szCs w:val="27"/>
        </w:rPr>
        <w:t xml:space="preserve">, que sí se materializó un defecto procedimental en las decisiones cuestionadas por vía de tutela, pero no por las razones que expone el </w:t>
      </w:r>
      <w:r w:rsidR="002502D3" w:rsidRPr="004836F6">
        <w:rPr>
          <w:rFonts w:ascii="Bookman Old Style" w:hAnsi="Bookman Old Style"/>
          <w:sz w:val="27"/>
          <w:szCs w:val="27"/>
        </w:rPr>
        <w:t>actor</w:t>
      </w:r>
      <w:r w:rsidR="003C40BB" w:rsidRPr="004836F6">
        <w:rPr>
          <w:rFonts w:ascii="Bookman Old Style" w:hAnsi="Bookman Old Style"/>
          <w:sz w:val="27"/>
          <w:szCs w:val="27"/>
        </w:rPr>
        <w:t xml:space="preserve">, sino </w:t>
      </w:r>
      <w:r w:rsidR="002502D3" w:rsidRPr="004836F6">
        <w:rPr>
          <w:rFonts w:ascii="Bookman Old Style" w:hAnsi="Bookman Old Style"/>
          <w:sz w:val="27"/>
          <w:szCs w:val="27"/>
        </w:rPr>
        <w:t>debido a que</w:t>
      </w:r>
      <w:r w:rsidR="003C40BB" w:rsidRPr="004836F6">
        <w:rPr>
          <w:rFonts w:ascii="Bookman Old Style" w:hAnsi="Bookman Old Style"/>
          <w:sz w:val="27"/>
          <w:szCs w:val="27"/>
        </w:rPr>
        <w:t xml:space="preserve"> el legislador, al expedir la Ley 1786, no pretendió implementarla </w:t>
      </w:r>
      <w:r w:rsidR="002502D3" w:rsidRPr="004836F6">
        <w:rPr>
          <w:rFonts w:ascii="Bookman Old Style" w:hAnsi="Bookman Old Style"/>
          <w:sz w:val="27"/>
          <w:szCs w:val="27"/>
        </w:rPr>
        <w:t>a</w:t>
      </w:r>
      <w:r w:rsidR="003C40BB" w:rsidRPr="004836F6">
        <w:rPr>
          <w:rFonts w:ascii="Bookman Old Style" w:hAnsi="Bookman Old Style"/>
          <w:sz w:val="27"/>
          <w:szCs w:val="27"/>
        </w:rPr>
        <w:t xml:space="preserve"> asuntos </w:t>
      </w:r>
      <w:r w:rsidR="002502D3" w:rsidRPr="004836F6">
        <w:rPr>
          <w:rFonts w:ascii="Bookman Old Style" w:hAnsi="Bookman Old Style"/>
          <w:sz w:val="27"/>
          <w:szCs w:val="27"/>
        </w:rPr>
        <w:t xml:space="preserve">regidos por la Ley 600 de 2000. </w:t>
      </w:r>
    </w:p>
    <w:p w:rsidR="003C40BB" w:rsidRPr="004836F6" w:rsidRDefault="003C40BB" w:rsidP="00CB7766">
      <w:pPr>
        <w:spacing w:after="0" w:line="336" w:lineRule="auto"/>
        <w:jc w:val="both"/>
        <w:rPr>
          <w:rFonts w:ascii="Bookman Old Style" w:hAnsi="Bookman Old Style"/>
          <w:sz w:val="27"/>
          <w:szCs w:val="27"/>
        </w:rPr>
      </w:pPr>
    </w:p>
    <w:p w:rsidR="003C40BB" w:rsidRPr="004836F6" w:rsidRDefault="009D2C2C" w:rsidP="00CB7766">
      <w:pPr>
        <w:spacing w:after="0" w:line="336" w:lineRule="auto"/>
        <w:jc w:val="both"/>
        <w:rPr>
          <w:rFonts w:ascii="Bookman Old Style" w:hAnsi="Bookman Old Style"/>
          <w:sz w:val="27"/>
          <w:szCs w:val="27"/>
        </w:rPr>
      </w:pPr>
      <w:r w:rsidRPr="004836F6">
        <w:rPr>
          <w:rFonts w:ascii="Bookman Old Style" w:hAnsi="Bookman Old Style"/>
          <w:sz w:val="27"/>
          <w:szCs w:val="27"/>
        </w:rPr>
        <w:tab/>
      </w:r>
      <w:r w:rsidR="003C40BB" w:rsidRPr="004836F6">
        <w:rPr>
          <w:rFonts w:ascii="Bookman Old Style" w:hAnsi="Bookman Old Style"/>
          <w:sz w:val="27"/>
          <w:szCs w:val="27"/>
        </w:rPr>
        <w:t xml:space="preserve">Indica, luego de hacer alusión a la exposición de motivos de las leyes 1760 y 1786, que tales normatividades son propias del sistema de enjuiciamiento oral y los términos allí fijados no pueden aplicarse al procedimiento </w:t>
      </w:r>
      <w:r w:rsidRPr="004836F6">
        <w:rPr>
          <w:rFonts w:ascii="Bookman Old Style" w:hAnsi="Bookman Old Style"/>
          <w:sz w:val="27"/>
          <w:szCs w:val="27"/>
        </w:rPr>
        <w:t>“</w:t>
      </w:r>
      <w:r w:rsidR="003C40BB" w:rsidRPr="004836F6">
        <w:rPr>
          <w:rFonts w:ascii="Bookman Old Style" w:hAnsi="Bookman Old Style"/>
          <w:i/>
          <w:sz w:val="27"/>
          <w:szCs w:val="27"/>
        </w:rPr>
        <w:t>anterior</w:t>
      </w:r>
      <w:r w:rsidRPr="004836F6">
        <w:rPr>
          <w:rFonts w:ascii="Bookman Old Style" w:hAnsi="Bookman Old Style"/>
          <w:sz w:val="27"/>
          <w:szCs w:val="27"/>
        </w:rPr>
        <w:t>”</w:t>
      </w:r>
      <w:r w:rsidR="003C40BB" w:rsidRPr="004836F6">
        <w:rPr>
          <w:rFonts w:ascii="Bookman Old Style" w:hAnsi="Bookman Old Style"/>
          <w:sz w:val="27"/>
          <w:szCs w:val="27"/>
        </w:rPr>
        <w:t xml:space="preserve">, en tanto los demandados hicieron </w:t>
      </w:r>
      <w:r w:rsidR="003C40BB" w:rsidRPr="004836F6">
        <w:rPr>
          <w:rFonts w:ascii="Bookman Old Style" w:hAnsi="Bookman Old Style"/>
          <w:i/>
          <w:sz w:val="27"/>
          <w:szCs w:val="27"/>
        </w:rPr>
        <w:t>«una mescolanza de legislaciones»</w:t>
      </w:r>
      <w:r w:rsidRPr="004836F6">
        <w:rPr>
          <w:rFonts w:ascii="Bookman Old Style" w:hAnsi="Bookman Old Style"/>
          <w:sz w:val="27"/>
          <w:szCs w:val="27"/>
        </w:rPr>
        <w:t>,</w:t>
      </w:r>
      <w:r w:rsidR="003C40BB" w:rsidRPr="004836F6">
        <w:rPr>
          <w:rFonts w:ascii="Bookman Old Style" w:hAnsi="Bookman Old Style"/>
          <w:sz w:val="27"/>
          <w:szCs w:val="27"/>
        </w:rPr>
        <w:t xml:space="preserve"> creando una tercera ley que no es aplicable en nuestro ordenamiento.</w:t>
      </w:r>
    </w:p>
    <w:p w:rsidR="003C40BB" w:rsidRPr="004836F6" w:rsidRDefault="003C40BB" w:rsidP="00CB7766">
      <w:pPr>
        <w:spacing w:after="0" w:line="336" w:lineRule="auto"/>
        <w:jc w:val="both"/>
        <w:rPr>
          <w:rFonts w:ascii="Bookman Old Style" w:hAnsi="Bookman Old Style"/>
          <w:sz w:val="27"/>
          <w:szCs w:val="27"/>
        </w:rPr>
      </w:pPr>
    </w:p>
    <w:p w:rsidR="003C40BB" w:rsidRPr="004836F6" w:rsidRDefault="001D6016" w:rsidP="00CB7766">
      <w:pPr>
        <w:spacing w:after="0" w:line="336" w:lineRule="auto"/>
        <w:jc w:val="both"/>
        <w:rPr>
          <w:rFonts w:ascii="Bookman Old Style" w:hAnsi="Bookman Old Style"/>
          <w:sz w:val="27"/>
          <w:szCs w:val="27"/>
        </w:rPr>
      </w:pPr>
      <w:r w:rsidRPr="004836F6">
        <w:rPr>
          <w:rFonts w:ascii="Bookman Old Style" w:hAnsi="Bookman Old Style"/>
          <w:sz w:val="27"/>
          <w:szCs w:val="27"/>
        </w:rPr>
        <w:tab/>
      </w:r>
      <w:r w:rsidR="003C40BB" w:rsidRPr="004836F6">
        <w:rPr>
          <w:rFonts w:ascii="Bookman Old Style" w:hAnsi="Bookman Old Style"/>
          <w:sz w:val="27"/>
          <w:szCs w:val="27"/>
        </w:rPr>
        <w:t>Esa integración normativa fue la que, en su criterio, afectó la garantía del debido proceso que le asiste a SANTIAGO URIBE VÉLEZ</w:t>
      </w:r>
      <w:r w:rsidRPr="004836F6">
        <w:rPr>
          <w:rFonts w:ascii="Bookman Old Style" w:hAnsi="Bookman Old Style"/>
          <w:sz w:val="27"/>
          <w:szCs w:val="27"/>
        </w:rPr>
        <w:t>,</w:t>
      </w:r>
      <w:r w:rsidR="003C40BB" w:rsidRPr="004836F6">
        <w:rPr>
          <w:rFonts w:ascii="Bookman Old Style" w:hAnsi="Bookman Old Style"/>
          <w:sz w:val="27"/>
          <w:szCs w:val="27"/>
        </w:rPr>
        <w:t xml:space="preserve"> porque la prórroga de la medida de aseguramiento no resultaba procedente a la luz de ese proceso, tramitado por la Ley 600 de 2000.</w:t>
      </w:r>
    </w:p>
    <w:p w:rsidR="003C40BB" w:rsidRPr="004836F6" w:rsidRDefault="003C40BB" w:rsidP="00CB7766">
      <w:pPr>
        <w:spacing w:after="0" w:line="336" w:lineRule="auto"/>
        <w:jc w:val="both"/>
        <w:rPr>
          <w:rFonts w:ascii="Bookman Old Style" w:hAnsi="Bookman Old Style"/>
          <w:sz w:val="27"/>
          <w:szCs w:val="27"/>
        </w:rPr>
      </w:pPr>
    </w:p>
    <w:p w:rsidR="003C40BB" w:rsidRPr="004836F6" w:rsidRDefault="008E3EB0" w:rsidP="00CB7766">
      <w:pPr>
        <w:spacing w:after="0" w:line="336" w:lineRule="auto"/>
        <w:jc w:val="both"/>
        <w:rPr>
          <w:rFonts w:ascii="Bookman Old Style" w:hAnsi="Bookman Old Style"/>
          <w:sz w:val="27"/>
          <w:szCs w:val="27"/>
        </w:rPr>
      </w:pPr>
      <w:r w:rsidRPr="004836F6">
        <w:rPr>
          <w:rFonts w:ascii="Bookman Old Style" w:hAnsi="Bookman Old Style"/>
          <w:sz w:val="27"/>
          <w:szCs w:val="27"/>
        </w:rPr>
        <w:tab/>
      </w:r>
      <w:r w:rsidR="003C40BB" w:rsidRPr="004836F6">
        <w:rPr>
          <w:rFonts w:ascii="Bookman Old Style" w:hAnsi="Bookman Old Style"/>
          <w:sz w:val="27"/>
          <w:szCs w:val="27"/>
        </w:rPr>
        <w:t>Pide</w:t>
      </w:r>
      <w:r w:rsidRPr="004836F6">
        <w:rPr>
          <w:rFonts w:ascii="Bookman Old Style" w:hAnsi="Bookman Old Style"/>
          <w:sz w:val="27"/>
          <w:szCs w:val="27"/>
        </w:rPr>
        <w:t>,</w:t>
      </w:r>
      <w:r w:rsidR="003C40BB" w:rsidRPr="004836F6">
        <w:rPr>
          <w:rFonts w:ascii="Bookman Old Style" w:hAnsi="Bookman Old Style"/>
          <w:sz w:val="27"/>
          <w:szCs w:val="27"/>
        </w:rPr>
        <w:t xml:space="preserve"> entonces, que se tutelen las garantías del accionante, pero por las razones expuestas en su intervención.</w:t>
      </w:r>
    </w:p>
    <w:p w:rsidR="008E3EB0" w:rsidRPr="004836F6" w:rsidRDefault="008E3EB0" w:rsidP="00CB7766">
      <w:pPr>
        <w:spacing w:after="0" w:line="336" w:lineRule="auto"/>
        <w:jc w:val="both"/>
        <w:rPr>
          <w:rFonts w:ascii="Bookman Old Style" w:hAnsi="Bookman Old Style"/>
          <w:sz w:val="27"/>
          <w:szCs w:val="27"/>
        </w:rPr>
      </w:pPr>
    </w:p>
    <w:p w:rsidR="003C40BB" w:rsidRPr="004836F6" w:rsidRDefault="008E3EB0" w:rsidP="00CB7766">
      <w:pPr>
        <w:spacing w:after="0" w:line="336" w:lineRule="auto"/>
        <w:jc w:val="both"/>
        <w:rPr>
          <w:rFonts w:ascii="Bookman Old Style" w:hAnsi="Bookman Old Style"/>
          <w:sz w:val="27"/>
          <w:szCs w:val="27"/>
        </w:rPr>
      </w:pPr>
      <w:r w:rsidRPr="004836F6">
        <w:rPr>
          <w:rFonts w:ascii="Bookman Old Style" w:hAnsi="Bookman Old Style"/>
          <w:sz w:val="27"/>
          <w:szCs w:val="27"/>
        </w:rPr>
        <w:lastRenderedPageBreak/>
        <w:tab/>
        <w:t>4. A su turno, l</w:t>
      </w:r>
      <w:r w:rsidR="003C40BB" w:rsidRPr="004836F6">
        <w:rPr>
          <w:rFonts w:ascii="Bookman Old Style" w:hAnsi="Bookman Old Style"/>
          <w:sz w:val="27"/>
          <w:szCs w:val="27"/>
        </w:rPr>
        <w:t>a Procuradora</w:t>
      </w:r>
      <w:r w:rsidRPr="004836F6">
        <w:rPr>
          <w:rFonts w:ascii="Bookman Old Style" w:hAnsi="Bookman Old Style"/>
          <w:sz w:val="27"/>
          <w:szCs w:val="27"/>
        </w:rPr>
        <w:t xml:space="preserve"> 1ª </w:t>
      </w:r>
      <w:r w:rsidR="003C40BB" w:rsidRPr="004836F6">
        <w:rPr>
          <w:rFonts w:ascii="Bookman Old Style" w:hAnsi="Bookman Old Style"/>
          <w:sz w:val="27"/>
          <w:szCs w:val="27"/>
        </w:rPr>
        <w:t>Delegada para la Investigación y Juzgamiento Penal hi</w:t>
      </w:r>
      <w:r w:rsidRPr="004836F6">
        <w:rPr>
          <w:rFonts w:ascii="Bookman Old Style" w:hAnsi="Bookman Old Style"/>
          <w:sz w:val="27"/>
          <w:szCs w:val="27"/>
        </w:rPr>
        <w:t xml:space="preserve">zo un recuento de la actuación </w:t>
      </w:r>
      <w:r w:rsidR="003C40BB" w:rsidRPr="004836F6">
        <w:rPr>
          <w:rFonts w:ascii="Bookman Old Style" w:hAnsi="Bookman Old Style"/>
          <w:sz w:val="27"/>
          <w:szCs w:val="27"/>
        </w:rPr>
        <w:t xml:space="preserve">e indicó que, </w:t>
      </w:r>
      <w:r w:rsidRPr="004836F6">
        <w:rPr>
          <w:rFonts w:ascii="Bookman Old Style" w:hAnsi="Bookman Old Style"/>
          <w:sz w:val="27"/>
          <w:szCs w:val="27"/>
        </w:rPr>
        <w:t>a su modo de ver</w:t>
      </w:r>
      <w:r w:rsidR="003C40BB" w:rsidRPr="004836F6">
        <w:rPr>
          <w:rFonts w:ascii="Bookman Old Style" w:hAnsi="Bookman Old Style"/>
          <w:sz w:val="27"/>
          <w:szCs w:val="27"/>
        </w:rPr>
        <w:t>, debe accederse a la protección constitucional invocada</w:t>
      </w:r>
      <w:r w:rsidRPr="004836F6">
        <w:rPr>
          <w:rFonts w:ascii="Bookman Old Style" w:hAnsi="Bookman Old Style"/>
          <w:sz w:val="27"/>
          <w:szCs w:val="27"/>
        </w:rPr>
        <w:t xml:space="preserve">. Según su perspectiva, </w:t>
      </w:r>
      <w:r w:rsidR="003C40BB" w:rsidRPr="004836F6">
        <w:rPr>
          <w:rFonts w:ascii="Bookman Old Style" w:hAnsi="Bookman Old Style"/>
          <w:sz w:val="27"/>
          <w:szCs w:val="27"/>
        </w:rPr>
        <w:t>no se efectuó la pr</w:t>
      </w:r>
      <w:r w:rsidRPr="004836F6">
        <w:rPr>
          <w:rFonts w:ascii="Bookman Old Style" w:hAnsi="Bookman Old Style"/>
          <w:sz w:val="27"/>
          <w:szCs w:val="27"/>
        </w:rPr>
        <w:t>órroga a petición de las partes</w:t>
      </w:r>
      <w:r w:rsidR="003C40BB" w:rsidRPr="004836F6">
        <w:rPr>
          <w:rFonts w:ascii="Bookman Old Style" w:hAnsi="Bookman Old Style"/>
          <w:sz w:val="27"/>
          <w:szCs w:val="27"/>
        </w:rPr>
        <w:t xml:space="preserve"> ni</w:t>
      </w:r>
      <w:r w:rsidRPr="004836F6">
        <w:rPr>
          <w:rFonts w:ascii="Bookman Old Style" w:hAnsi="Bookman Old Style"/>
          <w:sz w:val="27"/>
          <w:szCs w:val="27"/>
        </w:rPr>
        <w:t xml:space="preserve"> aquélla</w:t>
      </w:r>
      <w:r w:rsidR="003C40BB" w:rsidRPr="004836F6">
        <w:rPr>
          <w:rFonts w:ascii="Bookman Old Style" w:hAnsi="Bookman Old Style"/>
          <w:sz w:val="27"/>
          <w:szCs w:val="27"/>
        </w:rPr>
        <w:t xml:space="preserve"> tuvo lugar antes del vencimiento del término inicial, sin que sea obstáculo para solicitarla la entrada en vigencia de la Ley 1786, pues «</w:t>
      </w:r>
      <w:r w:rsidR="003C40BB" w:rsidRPr="004836F6">
        <w:rPr>
          <w:rFonts w:ascii="Bookman Old Style" w:hAnsi="Bookman Old Style"/>
          <w:i/>
          <w:sz w:val="27"/>
          <w:szCs w:val="27"/>
        </w:rPr>
        <w:t>la misma dice que se puede solicitar la prórroga antes de que empezara a regir</w:t>
      </w:r>
      <w:r w:rsidR="003C40BB" w:rsidRPr="004836F6">
        <w:rPr>
          <w:rFonts w:ascii="Bookman Old Style" w:hAnsi="Bookman Old Style"/>
          <w:sz w:val="27"/>
          <w:szCs w:val="27"/>
        </w:rPr>
        <w:t>».</w:t>
      </w:r>
    </w:p>
    <w:p w:rsidR="003C40BB" w:rsidRPr="004836F6" w:rsidRDefault="003C40BB" w:rsidP="00CB7766">
      <w:pPr>
        <w:spacing w:after="0" w:line="336" w:lineRule="auto"/>
        <w:jc w:val="both"/>
        <w:rPr>
          <w:rFonts w:ascii="Bookman Old Style" w:hAnsi="Bookman Old Style"/>
          <w:sz w:val="27"/>
          <w:szCs w:val="27"/>
        </w:rPr>
      </w:pPr>
    </w:p>
    <w:p w:rsidR="003C40BB" w:rsidRPr="004836F6" w:rsidRDefault="00312D90" w:rsidP="00CB7766">
      <w:pPr>
        <w:spacing w:after="0" w:line="336" w:lineRule="auto"/>
        <w:jc w:val="both"/>
        <w:rPr>
          <w:rFonts w:ascii="Bookman Old Style" w:hAnsi="Bookman Old Style"/>
          <w:sz w:val="27"/>
          <w:szCs w:val="27"/>
        </w:rPr>
      </w:pPr>
      <w:r w:rsidRPr="004836F6">
        <w:rPr>
          <w:rFonts w:ascii="Bookman Old Style" w:hAnsi="Bookman Old Style"/>
          <w:sz w:val="27"/>
          <w:szCs w:val="27"/>
        </w:rPr>
        <w:tab/>
      </w:r>
      <w:r w:rsidR="003C40BB" w:rsidRPr="004836F6">
        <w:rPr>
          <w:rFonts w:ascii="Bookman Old Style" w:hAnsi="Bookman Old Style"/>
          <w:sz w:val="27"/>
          <w:szCs w:val="27"/>
        </w:rPr>
        <w:t>En su criterio, al ser la libertad uno de los derechos cuestionados, debe hacerse un «</w:t>
      </w:r>
      <w:r w:rsidR="003C40BB" w:rsidRPr="004836F6">
        <w:rPr>
          <w:rFonts w:ascii="Bookman Old Style" w:hAnsi="Bookman Old Style"/>
          <w:i/>
          <w:sz w:val="27"/>
          <w:szCs w:val="27"/>
        </w:rPr>
        <w:t>análisis más benévolo con el procesado</w:t>
      </w:r>
      <w:r w:rsidR="003C40BB" w:rsidRPr="004836F6">
        <w:rPr>
          <w:rFonts w:ascii="Bookman Old Style" w:hAnsi="Bookman Old Style"/>
          <w:sz w:val="27"/>
          <w:szCs w:val="27"/>
        </w:rPr>
        <w:t>», dado que lo que se discute es su privación de tal garantía, de manera preventiva, y no como consecuencia de una decisión condenatoria en firme.</w:t>
      </w:r>
    </w:p>
    <w:p w:rsidR="00F820F2" w:rsidRPr="004836F6" w:rsidRDefault="00F820F2" w:rsidP="00CB7766">
      <w:pPr>
        <w:spacing w:after="0" w:line="336" w:lineRule="auto"/>
        <w:rPr>
          <w:rFonts w:ascii="Bookman Old Style" w:hAnsi="Bookman Old Style"/>
          <w:sz w:val="27"/>
          <w:szCs w:val="27"/>
          <w:lang w:val="es-ES" w:eastAsia="x-none"/>
        </w:rPr>
      </w:pPr>
    </w:p>
    <w:p w:rsidR="00DD791B" w:rsidRPr="004836F6" w:rsidRDefault="00DD791B" w:rsidP="00CB7766">
      <w:pPr>
        <w:pStyle w:val="Ttulo1"/>
        <w:spacing w:line="336" w:lineRule="auto"/>
        <w:rPr>
          <w:rFonts w:ascii="Bookman Old Style" w:hAnsi="Bookman Old Style"/>
          <w:b/>
          <w:i w:val="0"/>
          <w:sz w:val="27"/>
          <w:szCs w:val="27"/>
        </w:rPr>
      </w:pPr>
      <w:r w:rsidRPr="004836F6">
        <w:rPr>
          <w:rFonts w:ascii="Bookman Old Style" w:hAnsi="Bookman Old Style"/>
          <w:b/>
          <w:i w:val="0"/>
          <w:sz w:val="27"/>
          <w:szCs w:val="27"/>
        </w:rPr>
        <w:t>CONSIDERACIONES DE LA CORTE</w:t>
      </w:r>
    </w:p>
    <w:p w:rsidR="00DD791B" w:rsidRPr="004836F6" w:rsidRDefault="00DD791B" w:rsidP="00CB7766">
      <w:pPr>
        <w:widowControl w:val="0"/>
        <w:spacing w:after="0" w:line="336" w:lineRule="auto"/>
        <w:jc w:val="both"/>
        <w:rPr>
          <w:rFonts w:ascii="Bookman Old Style" w:hAnsi="Bookman Old Style"/>
          <w:sz w:val="27"/>
          <w:szCs w:val="27"/>
        </w:rPr>
      </w:pPr>
    </w:p>
    <w:p w:rsidR="007C00E1" w:rsidRPr="004836F6" w:rsidRDefault="007C00E1" w:rsidP="007C00E1">
      <w:pPr>
        <w:spacing w:after="0" w:line="336" w:lineRule="auto"/>
        <w:ind w:right="-89"/>
        <w:jc w:val="both"/>
        <w:rPr>
          <w:rFonts w:ascii="Bookman Old Style" w:hAnsi="Bookman Old Style" w:cs="Arial"/>
          <w:sz w:val="27"/>
          <w:szCs w:val="27"/>
        </w:rPr>
      </w:pPr>
      <w:r w:rsidRPr="004836F6">
        <w:rPr>
          <w:rFonts w:ascii="Arial" w:hAnsi="Arial" w:cs="Arial"/>
          <w:sz w:val="28"/>
          <w:szCs w:val="28"/>
        </w:rPr>
        <w:tab/>
      </w:r>
      <w:r w:rsidRPr="004836F6">
        <w:rPr>
          <w:rFonts w:ascii="Bookman Old Style" w:hAnsi="Bookman Old Style" w:cs="Arial"/>
          <w:sz w:val="27"/>
          <w:szCs w:val="27"/>
        </w:rPr>
        <w:t xml:space="preserve">El art. 86 de </w:t>
      </w:r>
      <w:smartTag w:uri="urn:schemas-microsoft-com:office:smarttags" w:element="PersonName">
        <w:smartTagPr>
          <w:attr w:name="ProductID" w:val="la Constituci￳n"/>
        </w:smartTagPr>
        <w:r w:rsidRPr="004836F6">
          <w:rPr>
            <w:rFonts w:ascii="Bookman Old Style" w:hAnsi="Bookman Old Style" w:cs="Arial"/>
            <w:sz w:val="27"/>
            <w:szCs w:val="27"/>
          </w:rPr>
          <w:t>la Constitución</w:t>
        </w:r>
      </w:smartTag>
      <w:r w:rsidRPr="004836F6">
        <w:rPr>
          <w:rFonts w:ascii="Bookman Old Style" w:hAnsi="Bookman Old Style" w:cs="Arial"/>
          <w:sz w:val="27"/>
          <w:szCs w:val="27"/>
        </w:rPr>
        <w:t xml:space="preserve"> establece que toda persona tiene derecho a promover acción de tutela ante los jueces, con miras a obtener la protección inmediata de sus derechos fundamentales, cuando, por acción u omisión, le sean vulnerados o amenazados por cualquier autoridad pública o por particulares en los casos previstos de forma expresa en la ley, siempre que no exista otro medio de defensa judicial, o cuando, existiendo, la tutela se utilice como mecanismo transitorio para evitar la materialización de un perjuicio irremediable.</w:t>
      </w:r>
    </w:p>
    <w:p w:rsidR="007C00E1" w:rsidRPr="004836F6" w:rsidRDefault="007C00E1" w:rsidP="007C00E1">
      <w:pPr>
        <w:pStyle w:val="BodyText31"/>
        <w:overflowPunct/>
        <w:autoSpaceDE/>
        <w:autoSpaceDN/>
        <w:adjustRightInd/>
        <w:spacing w:line="336" w:lineRule="auto"/>
        <w:ind w:right="-89"/>
        <w:textAlignment w:val="auto"/>
        <w:rPr>
          <w:rFonts w:ascii="Bookman Old Style" w:hAnsi="Bookman Old Style" w:cs="Arial"/>
          <w:sz w:val="27"/>
          <w:szCs w:val="27"/>
          <w:lang w:val="es-ES"/>
        </w:rPr>
      </w:pPr>
    </w:p>
    <w:p w:rsidR="007C00E1" w:rsidRPr="004836F6" w:rsidRDefault="007C00E1" w:rsidP="007C00E1">
      <w:pPr>
        <w:spacing w:after="0" w:line="336" w:lineRule="auto"/>
        <w:jc w:val="both"/>
        <w:rPr>
          <w:rFonts w:ascii="Bookman Old Style" w:hAnsi="Bookman Old Style" w:cs="Arial"/>
          <w:sz w:val="27"/>
          <w:szCs w:val="27"/>
        </w:rPr>
      </w:pPr>
      <w:r w:rsidRPr="004836F6">
        <w:rPr>
          <w:rFonts w:ascii="Bookman Old Style" w:hAnsi="Bookman Old Style" w:cs="Arial"/>
          <w:sz w:val="27"/>
          <w:szCs w:val="27"/>
        </w:rPr>
        <w:tab/>
        <w:t xml:space="preserve">La doctrina constitucional ha sido clara y enfática al indicar que, cuando se trata de providencias judiciales, la acción de tutela sólo resulta procedente de manera excepcional, </w:t>
      </w:r>
      <w:r w:rsidRPr="004836F6">
        <w:rPr>
          <w:rFonts w:ascii="Bookman Old Style" w:hAnsi="Bookman Old Style" w:cs="Arial"/>
          <w:sz w:val="27"/>
          <w:szCs w:val="27"/>
        </w:rPr>
        <w:lastRenderedPageBreak/>
        <w:t>pues, como regla general, la inconformidad de las partes con lo resuelto por los funcionarios judiciales ha de ser planteada y debatida en forma oportuna, acudiendo para ello a los medios de impugnación ordinarios y extraordinarios instituidos en el ordenamiento jurídico.</w:t>
      </w:r>
    </w:p>
    <w:p w:rsidR="007C00E1" w:rsidRPr="004836F6" w:rsidRDefault="007C00E1" w:rsidP="007C00E1">
      <w:pPr>
        <w:spacing w:after="0" w:line="336" w:lineRule="auto"/>
        <w:jc w:val="both"/>
        <w:rPr>
          <w:rFonts w:ascii="Bookman Old Style" w:hAnsi="Bookman Old Style" w:cs="Arial"/>
          <w:sz w:val="27"/>
          <w:szCs w:val="27"/>
        </w:rPr>
      </w:pPr>
    </w:p>
    <w:p w:rsidR="007C00E1" w:rsidRPr="004836F6" w:rsidRDefault="007C00E1" w:rsidP="007C00E1">
      <w:pPr>
        <w:spacing w:after="0" w:line="336" w:lineRule="auto"/>
        <w:jc w:val="both"/>
        <w:rPr>
          <w:rFonts w:ascii="Bookman Old Style" w:hAnsi="Bookman Old Style" w:cs="Arial"/>
          <w:sz w:val="27"/>
          <w:szCs w:val="27"/>
        </w:rPr>
      </w:pPr>
      <w:r w:rsidRPr="004836F6">
        <w:rPr>
          <w:rFonts w:ascii="Bookman Old Style" w:hAnsi="Bookman Old Style" w:cs="Arial"/>
          <w:sz w:val="27"/>
          <w:szCs w:val="27"/>
        </w:rPr>
        <w:tab/>
        <w:t xml:space="preserve">La procedencia </w:t>
      </w:r>
      <w:r w:rsidRPr="004836F6">
        <w:rPr>
          <w:rFonts w:ascii="Bookman Old Style" w:hAnsi="Bookman Old Style" w:cs="Arial"/>
          <w:i/>
          <w:sz w:val="27"/>
          <w:szCs w:val="27"/>
        </w:rPr>
        <w:t>excepcional</w:t>
      </w:r>
      <w:r w:rsidRPr="004836F6">
        <w:rPr>
          <w:rFonts w:ascii="Bookman Old Style" w:hAnsi="Bookman Old Style" w:cs="Arial"/>
          <w:sz w:val="27"/>
          <w:szCs w:val="27"/>
        </w:rPr>
        <w:t xml:space="preserve"> de la tutela contra providencias judiciales, acorde con la jurisprudencia constitucional</w:t>
      </w:r>
      <w:r w:rsidRPr="004836F6">
        <w:rPr>
          <w:rStyle w:val="Refdenotaalpie"/>
          <w:rFonts w:ascii="Bookman Old Style" w:hAnsi="Bookman Old Style" w:cs="Arial"/>
          <w:sz w:val="27"/>
          <w:szCs w:val="27"/>
        </w:rPr>
        <w:footnoteReference w:id="1"/>
      </w:r>
      <w:r w:rsidRPr="004836F6">
        <w:rPr>
          <w:rFonts w:ascii="Bookman Old Style" w:hAnsi="Bookman Old Style" w:cs="Arial"/>
          <w:sz w:val="27"/>
          <w:szCs w:val="27"/>
        </w:rPr>
        <w:t>, exige ciertos requisitos, unos genéricos y otros específicos, cuyo cumplimiento está obligado el demandante a acreditar.</w:t>
      </w:r>
    </w:p>
    <w:p w:rsidR="007C00E1" w:rsidRPr="004836F6" w:rsidRDefault="007C00E1" w:rsidP="007C00E1">
      <w:pPr>
        <w:spacing w:after="0" w:line="336" w:lineRule="auto"/>
        <w:jc w:val="both"/>
        <w:rPr>
          <w:rFonts w:ascii="Bookman Old Style" w:hAnsi="Bookman Old Style" w:cs="Arial"/>
          <w:sz w:val="27"/>
          <w:szCs w:val="27"/>
        </w:rPr>
      </w:pPr>
    </w:p>
    <w:p w:rsidR="007C00E1" w:rsidRPr="004836F6" w:rsidRDefault="007C00E1" w:rsidP="007C00E1">
      <w:pPr>
        <w:spacing w:after="0" w:line="336" w:lineRule="auto"/>
        <w:jc w:val="both"/>
        <w:rPr>
          <w:rFonts w:ascii="Bookman Old Style" w:hAnsi="Bookman Old Style" w:cs="Arial"/>
          <w:sz w:val="27"/>
          <w:szCs w:val="27"/>
          <w:lang w:val="es-ES_tradnl"/>
        </w:rPr>
      </w:pPr>
      <w:r w:rsidRPr="004836F6">
        <w:rPr>
          <w:rFonts w:ascii="Bookman Old Style" w:hAnsi="Bookman Old Style" w:cs="Arial"/>
          <w:sz w:val="27"/>
          <w:szCs w:val="27"/>
        </w:rPr>
        <w:tab/>
        <w:t xml:space="preserve">Son </w:t>
      </w:r>
      <w:r w:rsidRPr="004836F6">
        <w:rPr>
          <w:rFonts w:ascii="Bookman Old Style" w:hAnsi="Bookman Old Style" w:cs="Arial"/>
          <w:iCs/>
          <w:sz w:val="27"/>
          <w:szCs w:val="27"/>
          <w:lang w:val="es-ES_tradnl"/>
        </w:rPr>
        <w:t>requisitos generales de procedencia</w:t>
      </w:r>
      <w:r w:rsidRPr="004836F6">
        <w:rPr>
          <w:rFonts w:ascii="Bookman Old Style" w:hAnsi="Bookman Old Style" w:cs="Arial"/>
          <w:sz w:val="27"/>
          <w:szCs w:val="27"/>
          <w:lang w:val="es-ES_tradnl"/>
        </w:rPr>
        <w:t>: (i) que la cuestión que se discuta resulte de evidente relevancia constitucional; (ii) que se hayan agotado todos los medios ordinarios y extraordinarios de defensa judicial al alcance de la persona afectada; (iii) que se cumpla el requisito de la inmediatez; (iv) que, ante una irregularidad procesal, el defecto tenga un efecto decisivo o determinante en la sentencia; (v) que la parte actora identifique de manera razonable tanto los hechos que generaron la vulneración como los derechos vulnerados y (vi) que no se trate de sentencias de tutela.</w:t>
      </w:r>
    </w:p>
    <w:p w:rsidR="006E7E41" w:rsidRPr="004836F6" w:rsidRDefault="006E7E41" w:rsidP="00CB7766">
      <w:pPr>
        <w:widowControl w:val="0"/>
        <w:spacing w:after="0" w:line="336" w:lineRule="auto"/>
        <w:ind w:firstLine="708"/>
        <w:jc w:val="both"/>
        <w:rPr>
          <w:rFonts w:ascii="Bookman Old Style" w:hAnsi="Bookman Old Style"/>
          <w:sz w:val="27"/>
          <w:szCs w:val="27"/>
          <w:lang w:val="es-ES_tradnl"/>
        </w:rPr>
      </w:pPr>
    </w:p>
    <w:p w:rsidR="006E7E41" w:rsidRPr="004836F6" w:rsidRDefault="006E7E41" w:rsidP="00CB7766">
      <w:pPr>
        <w:spacing w:after="0" w:line="336" w:lineRule="auto"/>
        <w:ind w:right="-2" w:firstLine="708"/>
        <w:jc w:val="both"/>
        <w:rPr>
          <w:rFonts w:ascii="Bookman Old Style" w:hAnsi="Bookman Old Style"/>
          <w:sz w:val="27"/>
          <w:szCs w:val="27"/>
          <w:lang w:eastAsia="es-CO"/>
        </w:rPr>
      </w:pPr>
      <w:r w:rsidRPr="004836F6">
        <w:rPr>
          <w:rFonts w:ascii="Bookman Old Style" w:hAnsi="Bookman Old Style" w:cs="Arial"/>
          <w:sz w:val="27"/>
          <w:szCs w:val="27"/>
          <w:lang w:val="es-ES_tradnl"/>
        </w:rPr>
        <w:t xml:space="preserve">De otra parte, los requisitos de carácter específico han sido reiterados en pacífica jurisprudencia a partir de </w:t>
      </w:r>
      <w:r w:rsidRPr="004836F6">
        <w:rPr>
          <w:rFonts w:ascii="Bookman Old Style" w:hAnsi="Bookman Old Style" w:cs="Arial"/>
          <w:iCs/>
          <w:sz w:val="27"/>
          <w:szCs w:val="27"/>
          <w:lang w:val="es-ES_tradnl"/>
        </w:rPr>
        <w:t xml:space="preserve">la sentencia </w:t>
      </w:r>
      <w:r w:rsidRPr="004836F6">
        <w:rPr>
          <w:rFonts w:ascii="Bookman Old Style" w:hAnsi="Bookman Old Style"/>
          <w:sz w:val="27"/>
          <w:szCs w:val="27"/>
          <w:lang w:val="es-ES_tradnl"/>
        </w:rPr>
        <w:t xml:space="preserve">C-590/05.  Estos son: </w:t>
      </w:r>
      <w:r w:rsidRPr="004836F6">
        <w:rPr>
          <w:rFonts w:ascii="Bookman Old Style" w:hAnsi="Bookman Old Style" w:cs="Times"/>
          <w:i/>
          <w:sz w:val="27"/>
          <w:szCs w:val="27"/>
        </w:rPr>
        <w:t>(i)</w:t>
      </w:r>
      <w:r w:rsidRPr="004836F6">
        <w:rPr>
          <w:rFonts w:ascii="Bookman Old Style" w:hAnsi="Bookman Old Style" w:cs="Times"/>
          <w:sz w:val="27"/>
          <w:szCs w:val="27"/>
        </w:rPr>
        <w:t xml:space="preserve"> </w:t>
      </w:r>
      <w:r w:rsidRPr="004836F6">
        <w:rPr>
          <w:rFonts w:ascii="Bookman Old Style" w:hAnsi="Bookman Old Style"/>
          <w:iCs/>
          <w:sz w:val="27"/>
          <w:szCs w:val="27"/>
          <w:lang w:eastAsia="es-CO"/>
        </w:rPr>
        <w:t>defecto orgánico</w:t>
      </w:r>
      <w:r w:rsidRPr="004836F6">
        <w:rPr>
          <w:rStyle w:val="Refdenotaalpie"/>
          <w:rFonts w:ascii="Bookman Old Style" w:hAnsi="Bookman Old Style"/>
          <w:iCs/>
          <w:sz w:val="27"/>
          <w:szCs w:val="27"/>
          <w:lang w:eastAsia="es-CO"/>
        </w:rPr>
        <w:footnoteReference w:id="2"/>
      </w:r>
      <w:r w:rsidRPr="004836F6">
        <w:rPr>
          <w:rFonts w:ascii="Bookman Old Style" w:hAnsi="Bookman Old Style" w:cs="Times"/>
          <w:sz w:val="27"/>
          <w:szCs w:val="27"/>
        </w:rPr>
        <w:t xml:space="preserve">; </w:t>
      </w:r>
      <w:r w:rsidRPr="004836F6">
        <w:rPr>
          <w:rFonts w:ascii="Bookman Old Style" w:hAnsi="Bookman Old Style" w:cs="Times"/>
          <w:i/>
          <w:sz w:val="27"/>
          <w:szCs w:val="27"/>
        </w:rPr>
        <w:t>(</w:t>
      </w:r>
      <w:r w:rsidRPr="004836F6">
        <w:rPr>
          <w:rFonts w:ascii="Bookman Old Style" w:hAnsi="Bookman Old Style"/>
          <w:i/>
          <w:iCs/>
          <w:sz w:val="27"/>
          <w:szCs w:val="27"/>
          <w:lang w:eastAsia="es-CO"/>
        </w:rPr>
        <w:t>ii)</w:t>
      </w:r>
      <w:r w:rsidRPr="004836F6">
        <w:rPr>
          <w:rFonts w:ascii="Bookman Old Style" w:hAnsi="Bookman Old Style"/>
          <w:iCs/>
          <w:sz w:val="27"/>
          <w:szCs w:val="27"/>
          <w:lang w:eastAsia="es-CO"/>
        </w:rPr>
        <w:t xml:space="preserve"> defecto procedimental absoluto</w:t>
      </w:r>
      <w:r w:rsidRPr="004836F6">
        <w:rPr>
          <w:rStyle w:val="Refdenotaalpie"/>
          <w:rFonts w:ascii="Bookman Old Style" w:hAnsi="Bookman Old Style"/>
          <w:iCs/>
          <w:sz w:val="27"/>
          <w:szCs w:val="27"/>
          <w:lang w:eastAsia="es-CO"/>
        </w:rPr>
        <w:footnoteReference w:id="3"/>
      </w:r>
      <w:r w:rsidRPr="004836F6">
        <w:rPr>
          <w:rFonts w:ascii="Bookman Old Style" w:hAnsi="Bookman Old Style" w:cs="Times"/>
          <w:sz w:val="27"/>
          <w:szCs w:val="27"/>
        </w:rPr>
        <w:t xml:space="preserve">; </w:t>
      </w:r>
      <w:r w:rsidRPr="004836F6">
        <w:rPr>
          <w:rFonts w:ascii="Bookman Old Style" w:hAnsi="Bookman Old Style" w:cs="Times"/>
          <w:i/>
          <w:sz w:val="27"/>
          <w:szCs w:val="27"/>
        </w:rPr>
        <w:t>(iii)</w:t>
      </w:r>
      <w:r w:rsidRPr="004836F6">
        <w:rPr>
          <w:rFonts w:ascii="Bookman Old Style" w:hAnsi="Bookman Old Style" w:cs="Times"/>
          <w:sz w:val="27"/>
          <w:szCs w:val="27"/>
        </w:rPr>
        <w:t xml:space="preserve"> </w:t>
      </w:r>
      <w:r w:rsidRPr="004836F6">
        <w:rPr>
          <w:rFonts w:ascii="Bookman Old Style" w:hAnsi="Bookman Old Style"/>
          <w:iCs/>
          <w:sz w:val="27"/>
          <w:szCs w:val="27"/>
          <w:lang w:eastAsia="es-CO"/>
        </w:rPr>
        <w:t>defecto fáctico</w:t>
      </w:r>
      <w:r w:rsidRPr="004836F6">
        <w:rPr>
          <w:rStyle w:val="Refdenotaalpie"/>
          <w:rFonts w:ascii="Bookman Old Style" w:hAnsi="Bookman Old Style"/>
          <w:iCs/>
          <w:sz w:val="27"/>
          <w:szCs w:val="27"/>
          <w:lang w:eastAsia="es-CO"/>
        </w:rPr>
        <w:footnoteReference w:id="4"/>
      </w:r>
      <w:r w:rsidRPr="004836F6">
        <w:rPr>
          <w:rFonts w:ascii="Bookman Old Style" w:hAnsi="Bookman Old Style"/>
          <w:iCs/>
          <w:sz w:val="27"/>
          <w:szCs w:val="27"/>
          <w:lang w:eastAsia="es-CO"/>
        </w:rPr>
        <w:t xml:space="preserve">; </w:t>
      </w:r>
      <w:r w:rsidRPr="004836F6">
        <w:rPr>
          <w:rFonts w:ascii="Bookman Old Style" w:hAnsi="Bookman Old Style"/>
          <w:i/>
          <w:iCs/>
          <w:sz w:val="27"/>
          <w:szCs w:val="27"/>
          <w:lang w:eastAsia="es-CO"/>
        </w:rPr>
        <w:t>(iv)</w:t>
      </w:r>
      <w:r w:rsidRPr="004836F6">
        <w:rPr>
          <w:rFonts w:ascii="Bookman Old Style" w:hAnsi="Bookman Old Style"/>
          <w:iCs/>
          <w:sz w:val="27"/>
          <w:szCs w:val="27"/>
          <w:lang w:eastAsia="es-CO"/>
        </w:rPr>
        <w:t xml:space="preserve"> defecto </w:t>
      </w:r>
      <w:r w:rsidRPr="004836F6">
        <w:rPr>
          <w:rFonts w:ascii="Bookman Old Style" w:hAnsi="Bookman Old Style"/>
          <w:iCs/>
          <w:sz w:val="27"/>
          <w:szCs w:val="27"/>
          <w:lang w:eastAsia="es-CO"/>
        </w:rPr>
        <w:lastRenderedPageBreak/>
        <w:t>material o sustantivo</w:t>
      </w:r>
      <w:r w:rsidRPr="004836F6">
        <w:rPr>
          <w:rStyle w:val="Refdenotaalpie"/>
          <w:rFonts w:ascii="Bookman Old Style" w:hAnsi="Bookman Old Style"/>
          <w:iCs/>
          <w:sz w:val="27"/>
          <w:szCs w:val="27"/>
          <w:lang w:eastAsia="es-CO"/>
        </w:rPr>
        <w:footnoteReference w:id="5"/>
      </w:r>
      <w:r w:rsidRPr="004836F6">
        <w:rPr>
          <w:rFonts w:ascii="Bookman Old Style" w:hAnsi="Bookman Old Style"/>
          <w:iCs/>
          <w:sz w:val="27"/>
          <w:szCs w:val="27"/>
          <w:lang w:eastAsia="es-CO"/>
        </w:rPr>
        <w:t xml:space="preserve">; </w:t>
      </w:r>
      <w:r w:rsidRPr="004836F6">
        <w:rPr>
          <w:rFonts w:ascii="Bookman Old Style" w:hAnsi="Bookman Old Style"/>
          <w:i/>
          <w:iCs/>
          <w:sz w:val="27"/>
          <w:szCs w:val="27"/>
          <w:lang w:eastAsia="es-CO"/>
        </w:rPr>
        <w:t>(v)</w:t>
      </w:r>
      <w:r w:rsidRPr="004836F6">
        <w:rPr>
          <w:rFonts w:ascii="Bookman Old Style" w:hAnsi="Bookman Old Style"/>
          <w:iCs/>
          <w:sz w:val="27"/>
          <w:szCs w:val="27"/>
          <w:lang w:eastAsia="es-CO"/>
        </w:rPr>
        <w:t xml:space="preserve"> error inducido</w:t>
      </w:r>
      <w:r w:rsidRPr="004836F6">
        <w:rPr>
          <w:rStyle w:val="Refdenotaalpie"/>
          <w:rFonts w:ascii="Bookman Old Style" w:hAnsi="Bookman Old Style"/>
          <w:iCs/>
          <w:sz w:val="27"/>
          <w:szCs w:val="27"/>
          <w:lang w:eastAsia="es-CO"/>
        </w:rPr>
        <w:footnoteReference w:id="6"/>
      </w:r>
      <w:r w:rsidRPr="004836F6">
        <w:rPr>
          <w:rFonts w:ascii="Bookman Old Style" w:hAnsi="Bookman Old Style"/>
          <w:iCs/>
          <w:sz w:val="27"/>
          <w:szCs w:val="27"/>
          <w:lang w:eastAsia="es-CO"/>
        </w:rPr>
        <w:t xml:space="preserve">; </w:t>
      </w:r>
      <w:r w:rsidRPr="004836F6">
        <w:rPr>
          <w:rFonts w:ascii="Bookman Old Style" w:hAnsi="Bookman Old Style"/>
          <w:i/>
          <w:iCs/>
          <w:sz w:val="27"/>
          <w:szCs w:val="27"/>
          <w:lang w:eastAsia="es-CO"/>
        </w:rPr>
        <w:t>(vi)</w:t>
      </w:r>
      <w:r w:rsidRPr="004836F6">
        <w:rPr>
          <w:rFonts w:ascii="Bookman Old Style" w:hAnsi="Bookman Old Style"/>
          <w:iCs/>
          <w:sz w:val="27"/>
          <w:szCs w:val="27"/>
          <w:lang w:eastAsia="es-CO"/>
        </w:rPr>
        <w:t xml:space="preserve"> decisión sin motivación</w:t>
      </w:r>
      <w:r w:rsidRPr="004836F6">
        <w:rPr>
          <w:rStyle w:val="Refdenotaalpie"/>
          <w:rFonts w:ascii="Bookman Old Style" w:hAnsi="Bookman Old Style"/>
          <w:iCs/>
          <w:sz w:val="27"/>
          <w:szCs w:val="27"/>
          <w:lang w:eastAsia="es-CO"/>
        </w:rPr>
        <w:footnoteReference w:id="7"/>
      </w:r>
      <w:r w:rsidRPr="004836F6">
        <w:rPr>
          <w:rFonts w:ascii="Bookman Old Style" w:hAnsi="Bookman Old Style"/>
          <w:iCs/>
          <w:sz w:val="27"/>
          <w:szCs w:val="27"/>
          <w:lang w:eastAsia="es-CO"/>
        </w:rPr>
        <w:t xml:space="preserve">; </w:t>
      </w:r>
      <w:r w:rsidRPr="004836F6">
        <w:rPr>
          <w:rFonts w:ascii="Bookman Old Style" w:hAnsi="Bookman Old Style"/>
          <w:i/>
          <w:iCs/>
          <w:sz w:val="27"/>
          <w:szCs w:val="27"/>
          <w:lang w:eastAsia="es-CO"/>
        </w:rPr>
        <w:t>(vii)</w:t>
      </w:r>
      <w:r w:rsidRPr="004836F6">
        <w:rPr>
          <w:rFonts w:ascii="Bookman Old Style" w:hAnsi="Bookman Old Style"/>
          <w:iCs/>
          <w:sz w:val="27"/>
          <w:szCs w:val="27"/>
          <w:lang w:eastAsia="es-CO"/>
        </w:rPr>
        <w:t xml:space="preserve"> desconocimiento del precedente</w:t>
      </w:r>
      <w:r w:rsidRPr="004836F6">
        <w:rPr>
          <w:rStyle w:val="Refdenotaalpie"/>
          <w:rFonts w:ascii="Bookman Old Style" w:hAnsi="Bookman Old Style"/>
          <w:iCs/>
          <w:sz w:val="27"/>
          <w:szCs w:val="27"/>
          <w:lang w:eastAsia="es-CO"/>
        </w:rPr>
        <w:footnoteReference w:id="8"/>
      </w:r>
      <w:r w:rsidRPr="004836F6">
        <w:rPr>
          <w:rFonts w:ascii="Bookman Old Style" w:hAnsi="Bookman Old Style"/>
          <w:iCs/>
          <w:sz w:val="27"/>
          <w:szCs w:val="27"/>
          <w:lang w:eastAsia="es-CO"/>
        </w:rPr>
        <w:t xml:space="preserve"> y </w:t>
      </w:r>
      <w:r w:rsidRPr="004836F6">
        <w:rPr>
          <w:rFonts w:ascii="Bookman Old Style" w:hAnsi="Bookman Old Style"/>
          <w:i/>
          <w:iCs/>
          <w:sz w:val="27"/>
          <w:szCs w:val="27"/>
          <w:lang w:eastAsia="es-CO"/>
        </w:rPr>
        <w:t>(viii)</w:t>
      </w:r>
      <w:r w:rsidRPr="004836F6">
        <w:rPr>
          <w:rFonts w:ascii="Bookman Old Style" w:hAnsi="Bookman Old Style"/>
          <w:iCs/>
          <w:sz w:val="27"/>
          <w:szCs w:val="27"/>
          <w:lang w:eastAsia="es-CO"/>
        </w:rPr>
        <w:t xml:space="preserve"> violación directa de la Constitución.</w:t>
      </w:r>
    </w:p>
    <w:p w:rsidR="006E7E41" w:rsidRPr="004836F6" w:rsidRDefault="006E7E41" w:rsidP="00CB7766">
      <w:pPr>
        <w:spacing w:after="0" w:line="336" w:lineRule="auto"/>
        <w:ind w:left="709" w:right="-2"/>
        <w:jc w:val="both"/>
        <w:rPr>
          <w:rFonts w:ascii="Bookman Old Style" w:hAnsi="Bookman Old Style"/>
          <w:sz w:val="27"/>
          <w:szCs w:val="27"/>
          <w:lang w:eastAsia="es-CO"/>
        </w:rPr>
      </w:pPr>
    </w:p>
    <w:p w:rsidR="006E7E41" w:rsidRPr="004836F6" w:rsidRDefault="007C00E1" w:rsidP="00CB7766">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L</w:t>
      </w:r>
      <w:r w:rsidR="006E7E41" w:rsidRPr="004836F6">
        <w:rPr>
          <w:rFonts w:ascii="Bookman Old Style" w:hAnsi="Bookman Old Style"/>
          <w:sz w:val="27"/>
          <w:szCs w:val="27"/>
        </w:rPr>
        <w:t>a procedencia de</w:t>
      </w:r>
      <w:r w:rsidRPr="004836F6">
        <w:rPr>
          <w:rFonts w:ascii="Bookman Old Style" w:hAnsi="Bookman Old Style"/>
          <w:sz w:val="27"/>
          <w:szCs w:val="27"/>
        </w:rPr>
        <w:t>l amparo constitucional</w:t>
      </w:r>
      <w:r w:rsidR="006E7E41" w:rsidRPr="004836F6">
        <w:rPr>
          <w:rFonts w:ascii="Bookman Old Style" w:hAnsi="Bookman Old Style"/>
          <w:sz w:val="27"/>
          <w:szCs w:val="27"/>
        </w:rPr>
        <w:t xml:space="preserve"> contra una providencia</w:t>
      </w:r>
      <w:r w:rsidRPr="004836F6">
        <w:rPr>
          <w:rFonts w:ascii="Bookman Old Style" w:hAnsi="Bookman Old Style"/>
          <w:sz w:val="27"/>
          <w:szCs w:val="27"/>
        </w:rPr>
        <w:t xml:space="preserve"> judicial </w:t>
      </w:r>
      <w:r w:rsidRPr="004836F6">
        <w:rPr>
          <w:rFonts w:ascii="Bookman Old Style" w:hAnsi="Bookman Old Style"/>
          <w:sz w:val="24"/>
          <w:szCs w:val="24"/>
        </w:rPr>
        <w:t>-tanto autos como sentencias (T-343/12)</w:t>
      </w:r>
      <w:r w:rsidRPr="004836F6">
        <w:rPr>
          <w:rFonts w:ascii="Bookman Old Style" w:hAnsi="Bookman Old Style"/>
          <w:sz w:val="27"/>
          <w:szCs w:val="27"/>
        </w:rPr>
        <w:t xml:space="preserve">- </w:t>
      </w:r>
      <w:r w:rsidR="006E7E41" w:rsidRPr="004836F6">
        <w:rPr>
          <w:rFonts w:ascii="Bookman Old Style" w:hAnsi="Bookman Old Style"/>
          <w:sz w:val="27"/>
          <w:szCs w:val="27"/>
        </w:rPr>
        <w:t xml:space="preserve">se habilita, únicamente, cuando </w:t>
      </w:r>
      <w:r w:rsidR="00150F8F" w:rsidRPr="004836F6">
        <w:rPr>
          <w:rFonts w:ascii="Bookman Old Style" w:hAnsi="Bookman Old Style"/>
          <w:sz w:val="27"/>
          <w:szCs w:val="27"/>
        </w:rPr>
        <w:t>superado el filtro de verificación de los requisitos</w:t>
      </w:r>
      <w:r w:rsidR="006E7E41" w:rsidRPr="004836F6">
        <w:rPr>
          <w:rFonts w:ascii="Bookman Old Style" w:hAnsi="Bookman Old Style"/>
          <w:sz w:val="27"/>
          <w:szCs w:val="27"/>
        </w:rPr>
        <w:t xml:space="preserve"> generales</w:t>
      </w:r>
      <w:r w:rsidRPr="004836F6">
        <w:rPr>
          <w:rFonts w:ascii="Bookman Old Style" w:hAnsi="Bookman Old Style"/>
          <w:sz w:val="27"/>
          <w:szCs w:val="27"/>
        </w:rPr>
        <w:t>, se configure</w:t>
      </w:r>
      <w:r w:rsidR="00150F8F" w:rsidRPr="004836F6">
        <w:rPr>
          <w:rFonts w:ascii="Bookman Old Style" w:hAnsi="Bookman Old Style"/>
          <w:sz w:val="27"/>
          <w:szCs w:val="27"/>
        </w:rPr>
        <w:t xml:space="preserve"> al menos uno de los defectos</w:t>
      </w:r>
      <w:r w:rsidR="006E7E41" w:rsidRPr="004836F6">
        <w:rPr>
          <w:rFonts w:ascii="Bookman Old Style" w:hAnsi="Bookman Old Style"/>
          <w:sz w:val="27"/>
          <w:szCs w:val="27"/>
        </w:rPr>
        <w:t xml:space="preserve"> específicos antes mencionados. </w:t>
      </w:r>
    </w:p>
    <w:p w:rsidR="006E7E41" w:rsidRPr="004836F6" w:rsidRDefault="006E7E41" w:rsidP="00CB7766">
      <w:pPr>
        <w:spacing w:after="0" w:line="336" w:lineRule="auto"/>
        <w:ind w:firstLine="705"/>
        <w:jc w:val="both"/>
        <w:rPr>
          <w:rFonts w:ascii="Bookman Old Style" w:hAnsi="Bookman Old Style" w:cs="Arial"/>
          <w:sz w:val="27"/>
          <w:szCs w:val="27"/>
        </w:rPr>
      </w:pPr>
    </w:p>
    <w:p w:rsidR="006E7E41" w:rsidRPr="004836F6" w:rsidRDefault="00304CB9" w:rsidP="00CB7766">
      <w:pPr>
        <w:spacing w:after="0" w:line="336" w:lineRule="auto"/>
        <w:ind w:firstLine="705"/>
        <w:jc w:val="both"/>
        <w:rPr>
          <w:rFonts w:ascii="Bookman Old Style" w:hAnsi="Bookman Old Style"/>
          <w:b/>
          <w:sz w:val="27"/>
          <w:szCs w:val="27"/>
        </w:rPr>
      </w:pPr>
      <w:r w:rsidRPr="004836F6">
        <w:rPr>
          <w:rFonts w:ascii="Bookman Old Style" w:hAnsi="Bookman Old Style"/>
          <w:b/>
          <w:sz w:val="27"/>
          <w:szCs w:val="27"/>
        </w:rPr>
        <w:t>Análisis del caso concreto</w:t>
      </w:r>
    </w:p>
    <w:p w:rsidR="00150F8F" w:rsidRPr="004836F6" w:rsidRDefault="00150F8F" w:rsidP="00CB7766">
      <w:pPr>
        <w:spacing w:after="0" w:line="336" w:lineRule="auto"/>
        <w:ind w:firstLine="705"/>
        <w:jc w:val="both"/>
        <w:rPr>
          <w:rFonts w:ascii="Bookman Old Style" w:hAnsi="Bookman Old Style"/>
          <w:sz w:val="27"/>
          <w:szCs w:val="27"/>
        </w:rPr>
      </w:pPr>
    </w:p>
    <w:p w:rsidR="00150F8F" w:rsidRPr="004836F6" w:rsidRDefault="00ED125F" w:rsidP="00CB7766">
      <w:pPr>
        <w:spacing w:after="0" w:line="336" w:lineRule="auto"/>
        <w:ind w:firstLine="705"/>
        <w:jc w:val="both"/>
        <w:rPr>
          <w:rFonts w:ascii="Bookman Old Style" w:hAnsi="Bookman Old Style"/>
          <w:b/>
          <w:sz w:val="27"/>
          <w:szCs w:val="27"/>
        </w:rPr>
      </w:pPr>
      <w:r w:rsidRPr="004836F6">
        <w:rPr>
          <w:rFonts w:ascii="Bookman Old Style" w:hAnsi="Bookman Old Style"/>
          <w:b/>
          <w:sz w:val="27"/>
          <w:szCs w:val="27"/>
        </w:rPr>
        <w:t>1.</w:t>
      </w:r>
      <w:r w:rsidR="00150F8F" w:rsidRPr="004836F6">
        <w:rPr>
          <w:rFonts w:ascii="Bookman Old Style" w:hAnsi="Bookman Old Style"/>
          <w:b/>
          <w:sz w:val="27"/>
          <w:szCs w:val="27"/>
        </w:rPr>
        <w:t xml:space="preserve"> Verificación del cumplimiento de las </w:t>
      </w:r>
      <w:r w:rsidRPr="004836F6">
        <w:rPr>
          <w:rFonts w:ascii="Bookman Old Style" w:hAnsi="Bookman Old Style"/>
          <w:b/>
          <w:sz w:val="27"/>
          <w:szCs w:val="27"/>
        </w:rPr>
        <w:t>condiciones generales de procedencia</w:t>
      </w:r>
      <w:r w:rsidR="00150F8F" w:rsidRPr="004836F6">
        <w:rPr>
          <w:rFonts w:ascii="Bookman Old Style" w:hAnsi="Bookman Old Style"/>
          <w:b/>
          <w:sz w:val="27"/>
          <w:szCs w:val="27"/>
        </w:rPr>
        <w:t xml:space="preserve"> de la tutela</w:t>
      </w:r>
      <w:r w:rsidRPr="004836F6">
        <w:rPr>
          <w:rFonts w:ascii="Bookman Old Style" w:hAnsi="Bookman Old Style"/>
          <w:b/>
          <w:sz w:val="27"/>
          <w:szCs w:val="27"/>
        </w:rPr>
        <w:t xml:space="preserve"> contra providencias judiciales</w:t>
      </w:r>
    </w:p>
    <w:p w:rsidR="00150F8F" w:rsidRPr="004836F6" w:rsidRDefault="00150F8F" w:rsidP="00CB7766">
      <w:pPr>
        <w:spacing w:after="0" w:line="336" w:lineRule="auto"/>
        <w:ind w:firstLine="705"/>
        <w:jc w:val="both"/>
        <w:rPr>
          <w:rFonts w:ascii="Bookman Old Style" w:hAnsi="Bookman Old Style"/>
          <w:sz w:val="27"/>
          <w:szCs w:val="27"/>
        </w:rPr>
      </w:pPr>
    </w:p>
    <w:p w:rsidR="00150F8F" w:rsidRPr="004836F6" w:rsidRDefault="00150F8F" w:rsidP="00CB7766">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 xml:space="preserve">Advierte la Sala que </w:t>
      </w:r>
      <w:r w:rsidR="003D5B87" w:rsidRPr="004836F6">
        <w:rPr>
          <w:rFonts w:ascii="Bookman Old Style" w:hAnsi="Bookman Old Style"/>
          <w:sz w:val="27"/>
          <w:szCs w:val="27"/>
        </w:rPr>
        <w:t xml:space="preserve">la demanda formulada por </w:t>
      </w:r>
      <w:r w:rsidRPr="004836F6">
        <w:rPr>
          <w:rFonts w:ascii="Bookman Old Style" w:hAnsi="Bookman Old Style"/>
          <w:sz w:val="27"/>
          <w:szCs w:val="27"/>
        </w:rPr>
        <w:t xml:space="preserve">el apoderado de SANTIAGO URIBE VÉLEZ </w:t>
      </w:r>
      <w:r w:rsidR="003D5B87" w:rsidRPr="004836F6">
        <w:rPr>
          <w:rFonts w:ascii="Bookman Old Style" w:hAnsi="Bookman Old Style"/>
          <w:sz w:val="27"/>
          <w:szCs w:val="27"/>
        </w:rPr>
        <w:t>atendió</w:t>
      </w:r>
      <w:r w:rsidRPr="004836F6">
        <w:rPr>
          <w:rFonts w:ascii="Bookman Old Style" w:hAnsi="Bookman Old Style"/>
          <w:sz w:val="27"/>
          <w:szCs w:val="27"/>
        </w:rPr>
        <w:t xml:space="preserve"> las condiciones generales de procedencia de la tutela c</w:t>
      </w:r>
      <w:r w:rsidR="00ED125F" w:rsidRPr="004836F6">
        <w:rPr>
          <w:rFonts w:ascii="Bookman Old Style" w:hAnsi="Bookman Old Style"/>
          <w:sz w:val="27"/>
          <w:szCs w:val="27"/>
        </w:rPr>
        <w:t xml:space="preserve">ontra providencias judiciales. </w:t>
      </w:r>
      <w:r w:rsidRPr="004836F6">
        <w:rPr>
          <w:rFonts w:ascii="Bookman Old Style" w:hAnsi="Bookman Old Style"/>
          <w:sz w:val="27"/>
          <w:szCs w:val="27"/>
        </w:rPr>
        <w:t>En efecto:</w:t>
      </w:r>
    </w:p>
    <w:p w:rsidR="00150F8F" w:rsidRPr="004836F6" w:rsidRDefault="00150F8F" w:rsidP="00CB7766">
      <w:pPr>
        <w:spacing w:after="0" w:line="336" w:lineRule="auto"/>
        <w:ind w:firstLine="705"/>
        <w:jc w:val="both"/>
        <w:rPr>
          <w:rFonts w:ascii="Bookman Old Style" w:hAnsi="Bookman Old Style"/>
          <w:sz w:val="27"/>
          <w:szCs w:val="27"/>
        </w:rPr>
      </w:pPr>
    </w:p>
    <w:p w:rsidR="007E68EC" w:rsidRPr="004836F6" w:rsidRDefault="00150F8F" w:rsidP="00CB7766">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i</w:t>
      </w:r>
      <w:r w:rsidR="00ED125F" w:rsidRPr="004836F6">
        <w:rPr>
          <w:rFonts w:ascii="Bookman Old Style" w:hAnsi="Bookman Old Style"/>
          <w:sz w:val="27"/>
          <w:szCs w:val="27"/>
        </w:rPr>
        <w:t>)</w:t>
      </w:r>
      <w:r w:rsidRPr="004836F6">
        <w:rPr>
          <w:rFonts w:ascii="Bookman Old Style" w:hAnsi="Bookman Old Style"/>
          <w:i/>
          <w:sz w:val="27"/>
          <w:szCs w:val="27"/>
        </w:rPr>
        <w:t xml:space="preserve"> </w:t>
      </w:r>
      <w:r w:rsidRPr="004836F6">
        <w:rPr>
          <w:rFonts w:ascii="Bookman Old Style" w:hAnsi="Bookman Old Style"/>
          <w:sz w:val="27"/>
          <w:szCs w:val="27"/>
        </w:rPr>
        <w:t>El caso tiene</w:t>
      </w:r>
      <w:r w:rsidR="00ED125F" w:rsidRPr="004836F6">
        <w:rPr>
          <w:rFonts w:ascii="Bookman Old Style" w:hAnsi="Bookman Old Style"/>
          <w:sz w:val="27"/>
          <w:szCs w:val="27"/>
        </w:rPr>
        <w:t xml:space="preserve"> indiscutible</w:t>
      </w:r>
      <w:r w:rsidRPr="004836F6">
        <w:rPr>
          <w:rFonts w:ascii="Bookman Old Style" w:hAnsi="Bookman Old Style"/>
          <w:sz w:val="27"/>
          <w:szCs w:val="27"/>
        </w:rPr>
        <w:t xml:space="preserve"> relevancia const</w:t>
      </w:r>
      <w:r w:rsidR="00ED125F" w:rsidRPr="004836F6">
        <w:rPr>
          <w:rFonts w:ascii="Bookman Old Style" w:hAnsi="Bookman Old Style"/>
          <w:sz w:val="27"/>
          <w:szCs w:val="27"/>
        </w:rPr>
        <w:t xml:space="preserve">itucional, pues se discute la </w:t>
      </w:r>
      <w:r w:rsidRPr="004836F6">
        <w:rPr>
          <w:rFonts w:ascii="Bookman Old Style" w:hAnsi="Bookman Old Style"/>
          <w:sz w:val="27"/>
          <w:szCs w:val="27"/>
        </w:rPr>
        <w:t>vulneración de</w:t>
      </w:r>
      <w:r w:rsidR="00ED125F" w:rsidRPr="004836F6">
        <w:rPr>
          <w:rFonts w:ascii="Bookman Old Style" w:hAnsi="Bookman Old Style"/>
          <w:sz w:val="27"/>
          <w:szCs w:val="27"/>
        </w:rPr>
        <w:t xml:space="preserve">l derecho constitucional fundamental al debido proceso (art. 29), con repercusión en la libertad personal (art. 28). La queja constitucional estriba en el </w:t>
      </w:r>
      <w:r w:rsidR="00ED125F" w:rsidRPr="004836F6">
        <w:rPr>
          <w:rFonts w:ascii="Bookman Old Style" w:hAnsi="Bookman Old Style"/>
          <w:sz w:val="27"/>
          <w:szCs w:val="27"/>
        </w:rPr>
        <w:lastRenderedPageBreak/>
        <w:t xml:space="preserve">desconocimiento de las formas propias del juicio, en punto de la garantía fundamental </w:t>
      </w:r>
      <w:r w:rsidR="007E68EC" w:rsidRPr="004836F6">
        <w:rPr>
          <w:rFonts w:ascii="Bookman Old Style" w:hAnsi="Bookman Old Style"/>
          <w:sz w:val="27"/>
          <w:szCs w:val="27"/>
        </w:rPr>
        <w:t xml:space="preserve">y </w:t>
      </w:r>
      <w:r w:rsidR="00ED125F" w:rsidRPr="004836F6">
        <w:rPr>
          <w:rFonts w:ascii="Bookman Old Style" w:hAnsi="Bookman Old Style"/>
          <w:sz w:val="25"/>
          <w:szCs w:val="25"/>
        </w:rPr>
        <w:t>también derecho humano</w:t>
      </w:r>
      <w:r w:rsidR="00ED125F" w:rsidRPr="004836F6">
        <w:rPr>
          <w:rFonts w:ascii="Bookman Old Style" w:hAnsi="Bookman Old Style"/>
          <w:sz w:val="27"/>
          <w:szCs w:val="27"/>
        </w:rPr>
        <w:t xml:space="preserve"> a </w:t>
      </w:r>
      <w:r w:rsidR="007E68EC" w:rsidRPr="004836F6">
        <w:rPr>
          <w:rFonts w:ascii="Bookman Old Style" w:hAnsi="Bookman Old Style"/>
          <w:sz w:val="27"/>
          <w:szCs w:val="27"/>
        </w:rPr>
        <w:t xml:space="preserve">ser dejado en libertad si se es procesado en detención y se traspasan los límites del plazo razonable </w:t>
      </w:r>
      <w:r w:rsidR="007E68EC" w:rsidRPr="004836F6">
        <w:rPr>
          <w:rFonts w:ascii="Bookman Old Style" w:hAnsi="Bookman Old Style"/>
          <w:sz w:val="25"/>
          <w:szCs w:val="25"/>
        </w:rPr>
        <w:t xml:space="preserve">(art. 7-5 de la C.A.D.H.). </w:t>
      </w:r>
    </w:p>
    <w:p w:rsidR="007E68EC" w:rsidRPr="004836F6" w:rsidRDefault="007E68EC" w:rsidP="00CB7766">
      <w:pPr>
        <w:spacing w:after="0" w:line="336" w:lineRule="auto"/>
        <w:ind w:firstLine="705"/>
        <w:jc w:val="both"/>
        <w:rPr>
          <w:rFonts w:ascii="Bookman Old Style" w:hAnsi="Bookman Old Style"/>
          <w:sz w:val="27"/>
          <w:szCs w:val="27"/>
        </w:rPr>
      </w:pPr>
    </w:p>
    <w:p w:rsidR="00150F8F" w:rsidRPr="004836F6" w:rsidRDefault="00927102" w:rsidP="00CB7766">
      <w:pPr>
        <w:spacing w:after="0" w:line="336" w:lineRule="auto"/>
        <w:ind w:firstLine="705"/>
        <w:jc w:val="both"/>
        <w:rPr>
          <w:rFonts w:ascii="Bookman Old Style" w:hAnsi="Bookman Old Style"/>
          <w:sz w:val="27"/>
          <w:szCs w:val="27"/>
        </w:rPr>
      </w:pPr>
      <w:r w:rsidRPr="004836F6">
        <w:rPr>
          <w:rFonts w:ascii="Bookman Old Style" w:hAnsi="Bookman Old Style"/>
          <w:i/>
          <w:sz w:val="27"/>
          <w:szCs w:val="27"/>
        </w:rPr>
        <w:t>ii)</w:t>
      </w:r>
      <w:r w:rsidR="00150F8F" w:rsidRPr="004836F6">
        <w:rPr>
          <w:rFonts w:ascii="Bookman Old Style" w:hAnsi="Bookman Old Style"/>
          <w:i/>
          <w:sz w:val="27"/>
          <w:szCs w:val="27"/>
        </w:rPr>
        <w:t xml:space="preserve"> </w:t>
      </w:r>
      <w:r w:rsidR="004C3033" w:rsidRPr="004836F6">
        <w:rPr>
          <w:rFonts w:ascii="Bookman Old Style" w:hAnsi="Bookman Old Style"/>
          <w:sz w:val="27"/>
          <w:szCs w:val="27"/>
        </w:rPr>
        <w:t>No existe otro medio de defensa</w:t>
      </w:r>
      <w:r w:rsidRPr="004836F6">
        <w:rPr>
          <w:rFonts w:ascii="Bookman Old Style" w:hAnsi="Bookman Old Style"/>
          <w:sz w:val="27"/>
          <w:szCs w:val="27"/>
        </w:rPr>
        <w:t xml:space="preserve"> judicial</w:t>
      </w:r>
      <w:r w:rsidR="004C3033" w:rsidRPr="004836F6">
        <w:rPr>
          <w:rFonts w:ascii="Bookman Old Style" w:hAnsi="Bookman Old Style"/>
          <w:sz w:val="27"/>
          <w:szCs w:val="27"/>
        </w:rPr>
        <w:t xml:space="preserve"> distinto a la tutela para controvertir los autos en los que se negó la sustitución de la medida de aseguramiento </w:t>
      </w:r>
      <w:r w:rsidR="00092668" w:rsidRPr="004836F6">
        <w:rPr>
          <w:rFonts w:ascii="Bookman Old Style" w:hAnsi="Bookman Old Style"/>
          <w:sz w:val="27"/>
          <w:szCs w:val="27"/>
        </w:rPr>
        <w:t xml:space="preserve">privativa de la libertad </w:t>
      </w:r>
      <w:r w:rsidR="004C3033" w:rsidRPr="004836F6">
        <w:rPr>
          <w:rFonts w:ascii="Bookman Old Style" w:hAnsi="Bookman Old Style"/>
          <w:sz w:val="27"/>
          <w:szCs w:val="27"/>
        </w:rPr>
        <w:t xml:space="preserve">que pesa sobre SANTIAGO URIBE VÉLEZ, por otra no privativa de </w:t>
      </w:r>
      <w:r w:rsidR="00E53984" w:rsidRPr="004836F6">
        <w:rPr>
          <w:rFonts w:ascii="Bookman Old Style" w:hAnsi="Bookman Old Style"/>
          <w:sz w:val="27"/>
          <w:szCs w:val="27"/>
        </w:rPr>
        <w:t>ese derecho</w:t>
      </w:r>
      <w:r w:rsidR="004C3033" w:rsidRPr="004836F6">
        <w:rPr>
          <w:rFonts w:ascii="Bookman Old Style" w:hAnsi="Bookman Old Style"/>
          <w:sz w:val="27"/>
          <w:szCs w:val="27"/>
        </w:rPr>
        <w:t>.</w:t>
      </w:r>
      <w:r w:rsidRPr="004836F6">
        <w:rPr>
          <w:rFonts w:ascii="Bookman Old Style" w:hAnsi="Bookman Old Style"/>
          <w:sz w:val="27"/>
          <w:szCs w:val="27"/>
        </w:rPr>
        <w:t xml:space="preserve"> </w:t>
      </w:r>
      <w:r w:rsidR="00304CB9" w:rsidRPr="004836F6">
        <w:rPr>
          <w:rFonts w:ascii="Bookman Old Style" w:hAnsi="Bookman Old Style"/>
          <w:sz w:val="27"/>
          <w:szCs w:val="27"/>
        </w:rPr>
        <w:t>A ese respecto</w:t>
      </w:r>
      <w:r w:rsidRPr="004836F6">
        <w:rPr>
          <w:rFonts w:ascii="Bookman Old Style" w:hAnsi="Bookman Old Style"/>
          <w:sz w:val="27"/>
          <w:szCs w:val="27"/>
        </w:rPr>
        <w:t xml:space="preserve">, cabe precisar </w:t>
      </w:r>
      <w:r w:rsidR="006E234D" w:rsidRPr="004836F6">
        <w:rPr>
          <w:rFonts w:ascii="Bookman Old Style" w:hAnsi="Bookman Old Style"/>
          <w:sz w:val="27"/>
          <w:szCs w:val="27"/>
        </w:rPr>
        <w:t>que</w:t>
      </w:r>
      <w:r w:rsidR="009F62F2" w:rsidRPr="004836F6">
        <w:rPr>
          <w:rFonts w:ascii="Bookman Old Style" w:hAnsi="Bookman Old Style"/>
          <w:sz w:val="27"/>
          <w:szCs w:val="27"/>
        </w:rPr>
        <w:t>,</w:t>
      </w:r>
      <w:r w:rsidR="006E234D" w:rsidRPr="004836F6">
        <w:rPr>
          <w:rFonts w:ascii="Bookman Old Style" w:hAnsi="Bookman Old Style"/>
          <w:sz w:val="27"/>
          <w:szCs w:val="27"/>
        </w:rPr>
        <w:t xml:space="preserve"> por servir las medidas de aseguramiento a finalidades constitucionales y legales </w:t>
      </w:r>
      <w:r w:rsidR="006E234D" w:rsidRPr="004836F6">
        <w:rPr>
          <w:rFonts w:ascii="Bookman Old Style" w:hAnsi="Bookman Old Style"/>
          <w:i/>
          <w:sz w:val="27"/>
          <w:szCs w:val="27"/>
        </w:rPr>
        <w:t>propias</w:t>
      </w:r>
      <w:r w:rsidR="006E234D" w:rsidRPr="004836F6">
        <w:rPr>
          <w:rFonts w:ascii="Bookman Old Style" w:hAnsi="Bookman Old Style"/>
          <w:sz w:val="27"/>
          <w:szCs w:val="27"/>
        </w:rPr>
        <w:t xml:space="preserve"> </w:t>
      </w:r>
      <w:r w:rsidR="006E234D" w:rsidRPr="004836F6">
        <w:rPr>
          <w:rFonts w:ascii="Bookman Old Style" w:hAnsi="Bookman Old Style"/>
          <w:sz w:val="24"/>
          <w:szCs w:val="24"/>
        </w:rPr>
        <w:t xml:space="preserve">(arts. 250-1 de la Constitución y 355 de la Ley 600 de 2000), </w:t>
      </w:r>
      <w:r w:rsidR="006E234D" w:rsidRPr="004836F6">
        <w:rPr>
          <w:rFonts w:ascii="Bookman Old Style" w:hAnsi="Bookman Old Style"/>
          <w:sz w:val="27"/>
          <w:szCs w:val="27"/>
        </w:rPr>
        <w:t>distintas a la definición sobre la responsabilidad penal del acusado, que es el obje</w:t>
      </w:r>
      <w:r w:rsidR="008B0CDF" w:rsidRPr="004836F6">
        <w:rPr>
          <w:rFonts w:ascii="Bookman Old Style" w:hAnsi="Bookman Old Style"/>
          <w:sz w:val="27"/>
          <w:szCs w:val="27"/>
        </w:rPr>
        <w:t>to principal del proceso penal</w:t>
      </w:r>
      <w:r w:rsidR="00EB4376" w:rsidRPr="004836F6">
        <w:rPr>
          <w:rFonts w:ascii="Bookman Old Style" w:hAnsi="Bookman Old Style"/>
          <w:sz w:val="27"/>
          <w:szCs w:val="27"/>
        </w:rPr>
        <w:t xml:space="preserve"> que se define en la sentencia</w:t>
      </w:r>
      <w:r w:rsidR="008B0CDF" w:rsidRPr="004836F6">
        <w:rPr>
          <w:rFonts w:ascii="Bookman Old Style" w:hAnsi="Bookman Old Style"/>
          <w:sz w:val="27"/>
          <w:szCs w:val="27"/>
        </w:rPr>
        <w:t xml:space="preserve">, </w:t>
      </w:r>
      <w:r w:rsidR="00EB4376" w:rsidRPr="004836F6">
        <w:rPr>
          <w:rFonts w:ascii="Bookman Old Style" w:hAnsi="Bookman Old Style"/>
          <w:sz w:val="27"/>
          <w:szCs w:val="27"/>
        </w:rPr>
        <w:t xml:space="preserve">las posibilidades ordinarias de defensa judicial en aspectos concernientes al debido proceso aplicable para la </w:t>
      </w:r>
      <w:r w:rsidR="00EB4376" w:rsidRPr="004836F6">
        <w:rPr>
          <w:rFonts w:ascii="Bookman Old Style" w:hAnsi="Bookman Old Style"/>
          <w:i/>
          <w:sz w:val="27"/>
          <w:szCs w:val="27"/>
        </w:rPr>
        <w:t>privación preventiva de la libertad personal</w:t>
      </w:r>
      <w:r w:rsidR="00EB4376" w:rsidRPr="004836F6">
        <w:rPr>
          <w:rFonts w:ascii="Bookman Old Style" w:hAnsi="Bookman Old Style"/>
          <w:sz w:val="27"/>
          <w:szCs w:val="27"/>
        </w:rPr>
        <w:t xml:space="preserve"> se agotan con el ejercicio de los recursos de reposición y apelación </w:t>
      </w:r>
      <w:r w:rsidR="00EB4376" w:rsidRPr="004836F6">
        <w:rPr>
          <w:rFonts w:ascii="Bookman Old Style" w:hAnsi="Bookman Old Style"/>
          <w:sz w:val="25"/>
          <w:szCs w:val="25"/>
        </w:rPr>
        <w:t xml:space="preserve">(arts. 189 inc. 1º y 191 de la Ley 600 de 2000) </w:t>
      </w:r>
      <w:r w:rsidR="009F62F2" w:rsidRPr="004836F6">
        <w:rPr>
          <w:rFonts w:ascii="Bookman Old Style" w:hAnsi="Bookman Old Style"/>
          <w:sz w:val="27"/>
          <w:szCs w:val="27"/>
        </w:rPr>
        <w:t>contra</w:t>
      </w:r>
      <w:r w:rsidR="00EB4376" w:rsidRPr="004836F6">
        <w:rPr>
          <w:rFonts w:ascii="Bookman Old Style" w:hAnsi="Bookman Old Style"/>
          <w:sz w:val="27"/>
          <w:szCs w:val="27"/>
        </w:rPr>
        <w:t xml:space="preserve"> los </w:t>
      </w:r>
      <w:r w:rsidR="00EB4376" w:rsidRPr="004836F6">
        <w:rPr>
          <w:rFonts w:ascii="Bookman Old Style" w:hAnsi="Bookman Old Style"/>
          <w:i/>
          <w:sz w:val="27"/>
          <w:szCs w:val="27"/>
        </w:rPr>
        <w:t>autos</w:t>
      </w:r>
      <w:r w:rsidR="00EB4376" w:rsidRPr="004836F6">
        <w:rPr>
          <w:rFonts w:ascii="Bookman Old Style" w:hAnsi="Bookman Old Style"/>
          <w:sz w:val="27"/>
          <w:szCs w:val="27"/>
        </w:rPr>
        <w:t xml:space="preserve"> interlocutorios que sobre tal asunto deciden. </w:t>
      </w:r>
    </w:p>
    <w:p w:rsidR="000C3318" w:rsidRPr="004836F6" w:rsidRDefault="000C3318" w:rsidP="00CB7766">
      <w:pPr>
        <w:spacing w:after="0" w:line="336" w:lineRule="auto"/>
        <w:ind w:firstLine="705"/>
        <w:jc w:val="both"/>
        <w:rPr>
          <w:rFonts w:ascii="Bookman Old Style" w:hAnsi="Bookman Old Style"/>
          <w:sz w:val="27"/>
          <w:szCs w:val="27"/>
        </w:rPr>
      </w:pPr>
    </w:p>
    <w:p w:rsidR="000C3318" w:rsidRPr="004836F6" w:rsidRDefault="000C3318" w:rsidP="00CB7766">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ab/>
        <w:t xml:space="preserve">En el asunto bajo examen, al haberse agotado el recurso de apelación contra el auto que negó la sustitución de la detención, el actor cumplió con la carga de agotar la vía judicial ordinaria. </w:t>
      </w:r>
    </w:p>
    <w:p w:rsidR="004C3033" w:rsidRPr="004836F6" w:rsidRDefault="004C3033" w:rsidP="00CB7766">
      <w:pPr>
        <w:spacing w:after="0" w:line="336" w:lineRule="auto"/>
        <w:ind w:firstLine="705"/>
        <w:jc w:val="both"/>
        <w:rPr>
          <w:rFonts w:ascii="Bookman Old Style" w:hAnsi="Bookman Old Style"/>
          <w:sz w:val="27"/>
          <w:szCs w:val="27"/>
        </w:rPr>
      </w:pPr>
    </w:p>
    <w:p w:rsidR="004C3033" w:rsidRPr="004836F6" w:rsidRDefault="000C3318" w:rsidP="00CB7766">
      <w:pPr>
        <w:spacing w:after="0" w:line="336" w:lineRule="auto"/>
        <w:ind w:firstLine="705"/>
        <w:jc w:val="both"/>
        <w:rPr>
          <w:rFonts w:ascii="Bookman Old Style" w:hAnsi="Bookman Old Style"/>
          <w:sz w:val="27"/>
          <w:szCs w:val="27"/>
        </w:rPr>
      </w:pPr>
      <w:r w:rsidRPr="004836F6">
        <w:rPr>
          <w:rFonts w:ascii="Bookman Old Style" w:hAnsi="Bookman Old Style"/>
          <w:i/>
          <w:sz w:val="27"/>
          <w:szCs w:val="27"/>
        </w:rPr>
        <w:t>iii)</w:t>
      </w:r>
      <w:r w:rsidR="004C3033" w:rsidRPr="004836F6">
        <w:rPr>
          <w:rFonts w:ascii="Bookman Old Style" w:hAnsi="Bookman Old Style"/>
          <w:i/>
          <w:sz w:val="27"/>
          <w:szCs w:val="27"/>
        </w:rPr>
        <w:t xml:space="preserve"> </w:t>
      </w:r>
      <w:r w:rsidR="004C3033" w:rsidRPr="004836F6">
        <w:rPr>
          <w:rFonts w:ascii="Bookman Old Style" w:hAnsi="Bookman Old Style"/>
          <w:sz w:val="27"/>
          <w:szCs w:val="27"/>
        </w:rPr>
        <w:t>La última de las providencias cuestionadas se dictó el 13 de septiembre de 2017 y el demandante acudió a la vía con</w:t>
      </w:r>
      <w:r w:rsidR="008278A1" w:rsidRPr="004836F6">
        <w:rPr>
          <w:rFonts w:ascii="Bookman Old Style" w:hAnsi="Bookman Old Style"/>
          <w:sz w:val="27"/>
          <w:szCs w:val="27"/>
        </w:rPr>
        <w:t xml:space="preserve">stitucional, con toda prontitud, el 27 del mismo mes. </w:t>
      </w:r>
    </w:p>
    <w:p w:rsidR="00297E32" w:rsidRPr="004836F6" w:rsidRDefault="00297E32" w:rsidP="00CB7766">
      <w:pPr>
        <w:spacing w:after="0" w:line="336" w:lineRule="auto"/>
        <w:ind w:firstLine="705"/>
        <w:jc w:val="both"/>
        <w:rPr>
          <w:rFonts w:ascii="Bookman Old Style" w:hAnsi="Bookman Old Style"/>
          <w:sz w:val="27"/>
          <w:szCs w:val="27"/>
        </w:rPr>
      </w:pPr>
    </w:p>
    <w:p w:rsidR="004C3033" w:rsidRPr="004836F6" w:rsidRDefault="004C3033" w:rsidP="00CB7766">
      <w:pPr>
        <w:spacing w:after="0" w:line="336" w:lineRule="auto"/>
        <w:ind w:firstLine="705"/>
        <w:jc w:val="both"/>
        <w:rPr>
          <w:rFonts w:ascii="Bookman Old Style" w:hAnsi="Bookman Old Style"/>
          <w:sz w:val="27"/>
          <w:szCs w:val="27"/>
        </w:rPr>
      </w:pPr>
      <w:r w:rsidRPr="004836F6">
        <w:rPr>
          <w:rFonts w:ascii="Bookman Old Style" w:hAnsi="Bookman Old Style"/>
          <w:i/>
          <w:sz w:val="27"/>
          <w:szCs w:val="27"/>
        </w:rPr>
        <w:lastRenderedPageBreak/>
        <w:t>iv</w:t>
      </w:r>
      <w:r w:rsidR="00297E32" w:rsidRPr="004836F6">
        <w:rPr>
          <w:rFonts w:ascii="Bookman Old Style" w:hAnsi="Bookman Old Style"/>
          <w:i/>
          <w:sz w:val="27"/>
          <w:szCs w:val="27"/>
        </w:rPr>
        <w:t>)</w:t>
      </w:r>
      <w:r w:rsidRPr="004836F6">
        <w:rPr>
          <w:rFonts w:ascii="Bookman Old Style" w:hAnsi="Bookman Old Style"/>
          <w:sz w:val="27"/>
          <w:szCs w:val="27"/>
        </w:rPr>
        <w:t xml:space="preserve"> El libelista identificó con suficiencia los</w:t>
      </w:r>
      <w:r w:rsidR="00297E32" w:rsidRPr="004836F6">
        <w:rPr>
          <w:rFonts w:ascii="Bookman Old Style" w:hAnsi="Bookman Old Style"/>
          <w:sz w:val="27"/>
          <w:szCs w:val="27"/>
        </w:rPr>
        <w:t xml:space="preserve"> hechos y derechos vulnerados. </w:t>
      </w:r>
    </w:p>
    <w:p w:rsidR="004C3033" w:rsidRPr="004836F6" w:rsidRDefault="004C3033" w:rsidP="00CB7766">
      <w:pPr>
        <w:spacing w:after="0" w:line="336" w:lineRule="auto"/>
        <w:ind w:firstLine="705"/>
        <w:jc w:val="both"/>
        <w:rPr>
          <w:rFonts w:ascii="Bookman Old Style" w:hAnsi="Bookman Old Style"/>
          <w:sz w:val="27"/>
          <w:szCs w:val="27"/>
        </w:rPr>
      </w:pPr>
    </w:p>
    <w:p w:rsidR="004C3033" w:rsidRPr="004836F6" w:rsidRDefault="004C3033" w:rsidP="00CB7766">
      <w:pPr>
        <w:spacing w:after="0" w:line="336" w:lineRule="auto"/>
        <w:ind w:firstLine="705"/>
        <w:jc w:val="both"/>
        <w:rPr>
          <w:rFonts w:ascii="Bookman Old Style" w:hAnsi="Bookman Old Style"/>
          <w:sz w:val="27"/>
          <w:szCs w:val="27"/>
        </w:rPr>
      </w:pPr>
      <w:r w:rsidRPr="004836F6">
        <w:rPr>
          <w:rFonts w:ascii="Bookman Old Style" w:hAnsi="Bookman Old Style"/>
          <w:i/>
          <w:sz w:val="27"/>
          <w:szCs w:val="27"/>
        </w:rPr>
        <w:t>v</w:t>
      </w:r>
      <w:r w:rsidR="00297E32" w:rsidRPr="004836F6">
        <w:rPr>
          <w:rFonts w:ascii="Bookman Old Style" w:hAnsi="Bookman Old Style"/>
          <w:i/>
          <w:sz w:val="27"/>
          <w:szCs w:val="27"/>
        </w:rPr>
        <w:t>)</w:t>
      </w:r>
      <w:r w:rsidRPr="004836F6">
        <w:rPr>
          <w:rFonts w:ascii="Bookman Old Style" w:hAnsi="Bookman Old Style"/>
          <w:i/>
          <w:sz w:val="27"/>
          <w:szCs w:val="27"/>
        </w:rPr>
        <w:t xml:space="preserve"> </w:t>
      </w:r>
      <w:r w:rsidRPr="004836F6">
        <w:rPr>
          <w:rFonts w:ascii="Bookman Old Style" w:hAnsi="Bookman Old Style"/>
          <w:sz w:val="27"/>
          <w:szCs w:val="27"/>
        </w:rPr>
        <w:t>Finalmente, no se discute por este cauce una sentencia de tutela.</w:t>
      </w:r>
    </w:p>
    <w:p w:rsidR="00B978BA" w:rsidRPr="004836F6" w:rsidRDefault="00B978BA" w:rsidP="00CB7766">
      <w:pPr>
        <w:spacing w:after="0" w:line="336" w:lineRule="auto"/>
        <w:ind w:firstLine="705"/>
        <w:jc w:val="both"/>
        <w:rPr>
          <w:rFonts w:ascii="Bookman Old Style" w:hAnsi="Bookman Old Style"/>
          <w:b/>
          <w:i/>
          <w:sz w:val="27"/>
          <w:szCs w:val="27"/>
        </w:rPr>
      </w:pPr>
    </w:p>
    <w:p w:rsidR="00B978BA" w:rsidRPr="004836F6" w:rsidRDefault="00A45705" w:rsidP="00CB7766">
      <w:pPr>
        <w:spacing w:after="0" w:line="336" w:lineRule="auto"/>
        <w:ind w:firstLine="705"/>
        <w:jc w:val="both"/>
        <w:rPr>
          <w:rFonts w:ascii="Bookman Old Style" w:hAnsi="Bookman Old Style"/>
          <w:b/>
          <w:sz w:val="27"/>
          <w:szCs w:val="27"/>
        </w:rPr>
      </w:pPr>
      <w:r w:rsidRPr="004836F6">
        <w:rPr>
          <w:rFonts w:ascii="Bookman Old Style" w:hAnsi="Bookman Old Style"/>
          <w:b/>
          <w:sz w:val="27"/>
          <w:szCs w:val="27"/>
        </w:rPr>
        <w:t xml:space="preserve">2. </w:t>
      </w:r>
      <w:r w:rsidR="00B978BA" w:rsidRPr="004836F6">
        <w:rPr>
          <w:rFonts w:ascii="Bookman Old Style" w:hAnsi="Bookman Old Style"/>
          <w:b/>
          <w:sz w:val="27"/>
          <w:szCs w:val="27"/>
        </w:rPr>
        <w:t>Verificación del defecto espec</w:t>
      </w:r>
      <w:r w:rsidR="00F25E57" w:rsidRPr="004836F6">
        <w:rPr>
          <w:rFonts w:ascii="Bookman Old Style" w:hAnsi="Bookman Old Style"/>
          <w:b/>
          <w:sz w:val="27"/>
          <w:szCs w:val="27"/>
        </w:rPr>
        <w:t>ífico alegado por el accionante</w:t>
      </w:r>
    </w:p>
    <w:p w:rsidR="00B978BA" w:rsidRPr="004836F6" w:rsidRDefault="00B978BA" w:rsidP="00CB7766">
      <w:pPr>
        <w:spacing w:after="0" w:line="336" w:lineRule="auto"/>
        <w:ind w:firstLine="705"/>
        <w:jc w:val="both"/>
        <w:rPr>
          <w:rFonts w:ascii="Bookman Old Style" w:hAnsi="Bookman Old Style"/>
          <w:b/>
          <w:i/>
          <w:sz w:val="27"/>
          <w:szCs w:val="27"/>
        </w:rPr>
      </w:pPr>
    </w:p>
    <w:p w:rsidR="004C3033" w:rsidRPr="004836F6" w:rsidRDefault="00A45705" w:rsidP="00CB7766">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S</w:t>
      </w:r>
      <w:r w:rsidR="004C3033" w:rsidRPr="004836F6">
        <w:rPr>
          <w:rFonts w:ascii="Bookman Old Style" w:hAnsi="Bookman Old Style"/>
          <w:sz w:val="27"/>
          <w:szCs w:val="27"/>
        </w:rPr>
        <w:t xml:space="preserve">uperado el filtro de verificación del cumplimiento de las condiciones genéricas de procedencia de la tutela, a continuación analizará la Sala el </w:t>
      </w:r>
      <w:r w:rsidR="004C3033" w:rsidRPr="004836F6">
        <w:rPr>
          <w:rFonts w:ascii="Bookman Old Style" w:hAnsi="Bookman Old Style"/>
          <w:i/>
          <w:sz w:val="27"/>
          <w:szCs w:val="27"/>
        </w:rPr>
        <w:t>defecto procedimental absoluto</w:t>
      </w:r>
      <w:r w:rsidR="004C3033" w:rsidRPr="004836F6">
        <w:rPr>
          <w:rFonts w:ascii="Bookman Old Style" w:hAnsi="Bookman Old Style"/>
          <w:sz w:val="27"/>
          <w:szCs w:val="27"/>
        </w:rPr>
        <w:t xml:space="preserve"> </w:t>
      </w:r>
      <w:r w:rsidR="00F25E57" w:rsidRPr="004836F6">
        <w:rPr>
          <w:rFonts w:ascii="Bookman Old Style" w:hAnsi="Bookman Old Style"/>
          <w:sz w:val="27"/>
          <w:szCs w:val="27"/>
        </w:rPr>
        <w:t xml:space="preserve">denunciado por el actor, el cual se habría materializado en los </w:t>
      </w:r>
      <w:r w:rsidR="004C3033" w:rsidRPr="004836F6">
        <w:rPr>
          <w:rFonts w:ascii="Bookman Old Style" w:hAnsi="Bookman Old Style"/>
          <w:sz w:val="27"/>
          <w:szCs w:val="27"/>
        </w:rPr>
        <w:t xml:space="preserve">autos del 11 de agosto y 13 de septiembre de </w:t>
      </w:r>
      <w:r w:rsidR="00F25E57" w:rsidRPr="004836F6">
        <w:rPr>
          <w:rFonts w:ascii="Bookman Old Style" w:hAnsi="Bookman Old Style"/>
          <w:sz w:val="27"/>
          <w:szCs w:val="27"/>
        </w:rPr>
        <w:t>2017</w:t>
      </w:r>
      <w:r w:rsidR="004C3033" w:rsidRPr="004836F6">
        <w:rPr>
          <w:rFonts w:ascii="Bookman Old Style" w:hAnsi="Bookman Old Style"/>
          <w:sz w:val="27"/>
          <w:szCs w:val="27"/>
        </w:rPr>
        <w:t>, proferidos</w:t>
      </w:r>
      <w:r w:rsidR="00734327" w:rsidRPr="004836F6">
        <w:rPr>
          <w:rFonts w:ascii="Bookman Old Style" w:hAnsi="Bookman Old Style"/>
          <w:sz w:val="27"/>
          <w:szCs w:val="27"/>
        </w:rPr>
        <w:t xml:space="preserve"> </w:t>
      </w:r>
      <w:r w:rsidR="004C3033" w:rsidRPr="004836F6">
        <w:rPr>
          <w:rFonts w:ascii="Bookman Old Style" w:hAnsi="Bookman Old Style"/>
          <w:sz w:val="27"/>
          <w:szCs w:val="27"/>
        </w:rPr>
        <w:t xml:space="preserve">por el Juzgado </w:t>
      </w:r>
      <w:r w:rsidR="00F25E57" w:rsidRPr="004836F6">
        <w:rPr>
          <w:rFonts w:ascii="Bookman Old Style" w:hAnsi="Bookman Old Style"/>
          <w:sz w:val="27"/>
          <w:szCs w:val="27"/>
        </w:rPr>
        <w:t>1º</w:t>
      </w:r>
      <w:r w:rsidR="004C3033" w:rsidRPr="004836F6">
        <w:rPr>
          <w:rFonts w:ascii="Bookman Old Style" w:hAnsi="Bookman Old Style"/>
          <w:sz w:val="27"/>
          <w:szCs w:val="27"/>
        </w:rPr>
        <w:t xml:space="preserve"> Penal del Circuito Especializado de Antioquia y la Sala Penal del Tribunal Super</w:t>
      </w:r>
      <w:r w:rsidR="00734327" w:rsidRPr="004836F6">
        <w:rPr>
          <w:rFonts w:ascii="Bookman Old Style" w:hAnsi="Bookman Old Style"/>
          <w:sz w:val="27"/>
          <w:szCs w:val="27"/>
        </w:rPr>
        <w:t>ior del mismo distrito judicial, en su respectivo orden</w:t>
      </w:r>
      <w:r w:rsidR="00126CEA" w:rsidRPr="004836F6">
        <w:rPr>
          <w:rFonts w:ascii="Bookman Old Style" w:hAnsi="Bookman Old Style"/>
          <w:sz w:val="27"/>
          <w:szCs w:val="27"/>
        </w:rPr>
        <w:t>.</w:t>
      </w:r>
    </w:p>
    <w:p w:rsidR="00734327" w:rsidRPr="004836F6" w:rsidRDefault="00734327" w:rsidP="00CB7766">
      <w:pPr>
        <w:spacing w:after="0" w:line="336" w:lineRule="auto"/>
        <w:ind w:firstLine="705"/>
        <w:jc w:val="both"/>
        <w:rPr>
          <w:rFonts w:ascii="Bookman Old Style" w:hAnsi="Bookman Old Style"/>
          <w:sz w:val="27"/>
          <w:szCs w:val="27"/>
        </w:rPr>
      </w:pPr>
    </w:p>
    <w:p w:rsidR="00416B6B" w:rsidRPr="004836F6" w:rsidRDefault="00734327" w:rsidP="00416B6B">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 xml:space="preserve">Para tal efecto, </w:t>
      </w:r>
      <w:r w:rsidR="00707A1D" w:rsidRPr="004836F6">
        <w:rPr>
          <w:rFonts w:ascii="Bookman Old Style" w:hAnsi="Bookman Old Style"/>
          <w:sz w:val="27"/>
          <w:szCs w:val="27"/>
        </w:rPr>
        <w:t xml:space="preserve">a continuación, </w:t>
      </w:r>
      <w:r w:rsidRPr="004836F6">
        <w:rPr>
          <w:rFonts w:ascii="Bookman Old Style" w:hAnsi="Bookman Old Style"/>
          <w:sz w:val="27"/>
          <w:szCs w:val="27"/>
        </w:rPr>
        <w:t>la Sala fijará como premisas genéricas de resolución</w:t>
      </w:r>
      <w:r w:rsidR="0031122E" w:rsidRPr="004836F6">
        <w:rPr>
          <w:rFonts w:ascii="Bookman Old Style" w:hAnsi="Bookman Old Style"/>
          <w:sz w:val="27"/>
          <w:szCs w:val="27"/>
        </w:rPr>
        <w:t>, en primer lugar,</w:t>
      </w:r>
      <w:r w:rsidRPr="004836F6">
        <w:rPr>
          <w:rFonts w:ascii="Bookman Old Style" w:hAnsi="Bookman Old Style"/>
          <w:sz w:val="27"/>
          <w:szCs w:val="27"/>
        </w:rPr>
        <w:t xml:space="preserve"> algunos aspectos pertenecientes al debido</w:t>
      </w:r>
      <w:r w:rsidR="00F1775C" w:rsidRPr="004836F6">
        <w:rPr>
          <w:rFonts w:ascii="Bookman Old Style" w:hAnsi="Bookman Old Style"/>
          <w:sz w:val="27"/>
          <w:szCs w:val="27"/>
        </w:rPr>
        <w:t xml:space="preserve"> proceso penal</w:t>
      </w:r>
      <w:r w:rsidR="00A45656" w:rsidRPr="004836F6">
        <w:rPr>
          <w:rFonts w:ascii="Bookman Old Style" w:hAnsi="Bookman Old Style"/>
          <w:sz w:val="27"/>
          <w:szCs w:val="27"/>
        </w:rPr>
        <w:t xml:space="preserve"> en </w:t>
      </w:r>
      <w:r w:rsidR="0031122E" w:rsidRPr="004836F6">
        <w:rPr>
          <w:rFonts w:ascii="Bookman Old Style" w:hAnsi="Bookman Old Style"/>
          <w:sz w:val="27"/>
          <w:szCs w:val="27"/>
        </w:rPr>
        <w:t>su</w:t>
      </w:r>
      <w:r w:rsidR="00A45656" w:rsidRPr="004836F6">
        <w:rPr>
          <w:rFonts w:ascii="Bookman Old Style" w:hAnsi="Bookman Old Style"/>
          <w:sz w:val="27"/>
          <w:szCs w:val="27"/>
        </w:rPr>
        <w:t xml:space="preserve"> faceta cautelar-accesoria, propia de las medidas de aseguramiento</w:t>
      </w:r>
      <w:r w:rsidR="00480453" w:rsidRPr="004836F6">
        <w:rPr>
          <w:rFonts w:ascii="Bookman Old Style" w:hAnsi="Bookman Old Style"/>
          <w:sz w:val="27"/>
          <w:szCs w:val="27"/>
        </w:rPr>
        <w:t xml:space="preserve"> (</w:t>
      </w:r>
      <w:r w:rsidR="00480453" w:rsidRPr="004836F6">
        <w:rPr>
          <w:rFonts w:ascii="Bookman Old Style" w:hAnsi="Bookman Old Style"/>
          <w:i/>
          <w:sz w:val="27"/>
          <w:szCs w:val="27"/>
        </w:rPr>
        <w:t>debido proceso cautelar</w:t>
      </w:r>
      <w:r w:rsidR="00480453" w:rsidRPr="004836F6">
        <w:rPr>
          <w:rFonts w:ascii="Bookman Old Style" w:hAnsi="Bookman Old Style"/>
          <w:sz w:val="27"/>
          <w:szCs w:val="27"/>
        </w:rPr>
        <w:t>)</w:t>
      </w:r>
      <w:r w:rsidR="002152A1" w:rsidRPr="004836F6">
        <w:rPr>
          <w:rFonts w:ascii="Bookman Old Style" w:hAnsi="Bookman Old Style"/>
          <w:sz w:val="27"/>
          <w:szCs w:val="27"/>
        </w:rPr>
        <w:t xml:space="preserve">, </w:t>
      </w:r>
      <w:r w:rsidR="0031122E" w:rsidRPr="004836F6">
        <w:rPr>
          <w:rFonts w:ascii="Bookman Old Style" w:hAnsi="Bookman Old Style"/>
          <w:sz w:val="27"/>
          <w:szCs w:val="27"/>
        </w:rPr>
        <w:t xml:space="preserve">que activan una protección reforzada del derecho a ser juzgado dentro de un plazo razonable. </w:t>
      </w:r>
      <w:r w:rsidR="00AA661A" w:rsidRPr="004836F6">
        <w:rPr>
          <w:rFonts w:ascii="Bookman Old Style" w:hAnsi="Bookman Old Style"/>
          <w:sz w:val="27"/>
          <w:szCs w:val="27"/>
        </w:rPr>
        <w:t>Con esa base, en segundo término, habrá</w:t>
      </w:r>
      <w:r w:rsidR="00DE34F6" w:rsidRPr="004836F6">
        <w:rPr>
          <w:rFonts w:ascii="Bookman Old Style" w:hAnsi="Bookman Old Style"/>
          <w:sz w:val="27"/>
          <w:szCs w:val="27"/>
        </w:rPr>
        <w:t>n</w:t>
      </w:r>
      <w:r w:rsidR="00AA661A" w:rsidRPr="004836F6">
        <w:rPr>
          <w:rFonts w:ascii="Bookman Old Style" w:hAnsi="Bookman Old Style"/>
          <w:sz w:val="27"/>
          <w:szCs w:val="27"/>
        </w:rPr>
        <w:t xml:space="preserve"> de precisarse</w:t>
      </w:r>
      <w:r w:rsidR="00DE34F6" w:rsidRPr="004836F6">
        <w:rPr>
          <w:rFonts w:ascii="Bookman Old Style" w:hAnsi="Bookman Old Style"/>
          <w:sz w:val="27"/>
          <w:szCs w:val="27"/>
        </w:rPr>
        <w:t xml:space="preserve"> los contornos de aplicación de la sustitución de la detención preventiva por medidas de aseguramiento no privativas de la libertad, en eventos de superación de los </w:t>
      </w:r>
      <w:r w:rsidR="00727D7F" w:rsidRPr="004836F6">
        <w:rPr>
          <w:rFonts w:ascii="Bookman Old Style" w:hAnsi="Bookman Old Style"/>
          <w:sz w:val="27"/>
          <w:szCs w:val="27"/>
        </w:rPr>
        <w:t xml:space="preserve">respectivos </w:t>
      </w:r>
      <w:r w:rsidR="00DE34F6" w:rsidRPr="004836F6">
        <w:rPr>
          <w:rFonts w:ascii="Bookman Old Style" w:hAnsi="Bookman Old Style"/>
          <w:sz w:val="27"/>
          <w:szCs w:val="27"/>
        </w:rPr>
        <w:t xml:space="preserve">términos máximos legales. </w:t>
      </w:r>
      <w:r w:rsidR="00707A1D" w:rsidRPr="004836F6">
        <w:rPr>
          <w:rFonts w:ascii="Bookman Old Style" w:hAnsi="Bookman Old Style"/>
          <w:sz w:val="27"/>
          <w:szCs w:val="27"/>
        </w:rPr>
        <w:t xml:space="preserve">Sobre este último particular, en concreto, la Sala expondrá de qué manera opera la </w:t>
      </w:r>
      <w:r w:rsidR="00707A1D" w:rsidRPr="004836F6">
        <w:rPr>
          <w:rFonts w:ascii="Bookman Old Style" w:hAnsi="Bookman Old Style"/>
          <w:i/>
          <w:sz w:val="27"/>
          <w:szCs w:val="27"/>
        </w:rPr>
        <w:t>prórroga</w:t>
      </w:r>
      <w:r w:rsidR="00707A1D" w:rsidRPr="004836F6">
        <w:rPr>
          <w:rFonts w:ascii="Bookman Old Style" w:hAnsi="Bookman Old Style"/>
          <w:sz w:val="27"/>
          <w:szCs w:val="27"/>
        </w:rPr>
        <w:t xml:space="preserve"> del plazo máximo de vigencia de la detenci</w:t>
      </w:r>
      <w:r w:rsidR="00727D7F" w:rsidRPr="004836F6">
        <w:rPr>
          <w:rFonts w:ascii="Bookman Old Style" w:hAnsi="Bookman Old Style"/>
          <w:sz w:val="27"/>
          <w:szCs w:val="27"/>
        </w:rPr>
        <w:t>ón</w:t>
      </w:r>
      <w:r w:rsidR="00847D19" w:rsidRPr="004836F6">
        <w:rPr>
          <w:rFonts w:ascii="Bookman Old Style" w:hAnsi="Bookman Old Style"/>
          <w:sz w:val="27"/>
          <w:szCs w:val="27"/>
        </w:rPr>
        <w:t>,</w:t>
      </w:r>
      <w:r w:rsidR="00727D7F" w:rsidRPr="004836F6">
        <w:rPr>
          <w:rFonts w:ascii="Bookman Old Style" w:hAnsi="Bookman Old Style"/>
          <w:sz w:val="27"/>
          <w:szCs w:val="27"/>
        </w:rPr>
        <w:t xml:space="preserve"> en procesos gobernados </w:t>
      </w:r>
      <w:r w:rsidR="00727D7F" w:rsidRPr="004836F6">
        <w:rPr>
          <w:rFonts w:ascii="Bookman Old Style" w:hAnsi="Bookman Old Style"/>
          <w:sz w:val="27"/>
          <w:szCs w:val="27"/>
        </w:rPr>
        <w:lastRenderedPageBreak/>
        <w:t xml:space="preserve">por la Ley 600 de 2000. Para tal efecto, </w:t>
      </w:r>
      <w:r w:rsidR="003F48DC" w:rsidRPr="004836F6">
        <w:rPr>
          <w:rFonts w:ascii="Bookman Old Style" w:hAnsi="Bookman Old Style"/>
          <w:sz w:val="27"/>
          <w:szCs w:val="27"/>
        </w:rPr>
        <w:t>ha</w:t>
      </w:r>
      <w:r w:rsidR="00FF53CB" w:rsidRPr="004836F6">
        <w:rPr>
          <w:rFonts w:ascii="Bookman Old Style" w:hAnsi="Bookman Old Style"/>
          <w:sz w:val="27"/>
          <w:szCs w:val="27"/>
        </w:rPr>
        <w:t>n</w:t>
      </w:r>
      <w:r w:rsidR="003F48DC" w:rsidRPr="004836F6">
        <w:rPr>
          <w:rFonts w:ascii="Bookman Old Style" w:hAnsi="Bookman Old Style"/>
          <w:sz w:val="27"/>
          <w:szCs w:val="27"/>
        </w:rPr>
        <w:t xml:space="preserve"> de traerse a</w:t>
      </w:r>
      <w:r w:rsidR="00727D7F" w:rsidRPr="004836F6">
        <w:rPr>
          <w:rFonts w:ascii="Bookman Old Style" w:hAnsi="Bookman Old Style"/>
          <w:sz w:val="27"/>
          <w:szCs w:val="27"/>
        </w:rPr>
        <w:t xml:space="preserve"> colación apartes </w:t>
      </w:r>
      <w:r w:rsidR="00FF53CB" w:rsidRPr="004836F6">
        <w:rPr>
          <w:rFonts w:ascii="Bookman Old Style" w:hAnsi="Bookman Old Style"/>
          <w:sz w:val="27"/>
          <w:szCs w:val="27"/>
        </w:rPr>
        <w:t xml:space="preserve">pertinentes </w:t>
      </w:r>
      <w:r w:rsidR="00727D7F" w:rsidRPr="004836F6">
        <w:rPr>
          <w:rFonts w:ascii="Bookman Old Style" w:hAnsi="Bookman Old Style"/>
          <w:sz w:val="27"/>
          <w:szCs w:val="27"/>
        </w:rPr>
        <w:t>de la decisión CSJ AP471-2017</w:t>
      </w:r>
      <w:r w:rsidR="003F48DC" w:rsidRPr="004836F6">
        <w:rPr>
          <w:rFonts w:ascii="Bookman Old Style" w:hAnsi="Bookman Old Style"/>
          <w:sz w:val="27"/>
          <w:szCs w:val="27"/>
        </w:rPr>
        <w:t xml:space="preserve">, por medio de la cual la Corte </w:t>
      </w:r>
      <w:r w:rsidR="009549A2" w:rsidRPr="004836F6">
        <w:rPr>
          <w:rFonts w:ascii="Bookman Old Style" w:hAnsi="Bookman Old Style"/>
          <w:sz w:val="27"/>
          <w:szCs w:val="27"/>
        </w:rPr>
        <w:t xml:space="preserve">determinó la aplicabilidad de los términos máximos de vigencia de la detención preventiva, así como de la sustitución de ésta por una medida no privativa de la libertad, por superación del plazo razonable. </w:t>
      </w:r>
    </w:p>
    <w:p w:rsidR="00416B6B" w:rsidRPr="004836F6" w:rsidRDefault="00416B6B" w:rsidP="00416B6B">
      <w:pPr>
        <w:spacing w:after="0" w:line="336" w:lineRule="auto"/>
        <w:ind w:firstLine="705"/>
        <w:jc w:val="both"/>
        <w:rPr>
          <w:rFonts w:ascii="Bookman Old Style" w:hAnsi="Bookman Old Style"/>
          <w:sz w:val="27"/>
          <w:szCs w:val="27"/>
        </w:rPr>
      </w:pPr>
    </w:p>
    <w:p w:rsidR="00727D7F" w:rsidRPr="004836F6" w:rsidRDefault="00727D7F" w:rsidP="00416B6B">
      <w:pPr>
        <w:spacing w:after="0" w:line="336" w:lineRule="auto"/>
        <w:ind w:firstLine="705"/>
        <w:jc w:val="both"/>
        <w:rPr>
          <w:rFonts w:ascii="Bookman Old Style" w:hAnsi="Bookman Old Style"/>
          <w:b/>
          <w:sz w:val="27"/>
          <w:szCs w:val="27"/>
          <w:lang w:val="es-MX"/>
        </w:rPr>
      </w:pPr>
      <w:r w:rsidRPr="004836F6">
        <w:rPr>
          <w:rFonts w:ascii="Bookman Old Style" w:hAnsi="Bookman Old Style"/>
          <w:b/>
          <w:sz w:val="27"/>
          <w:szCs w:val="27"/>
        </w:rPr>
        <w:t>2.1</w:t>
      </w:r>
      <w:r w:rsidR="00B978BA" w:rsidRPr="004836F6">
        <w:rPr>
          <w:rFonts w:ascii="Bookman Old Style" w:hAnsi="Bookman Old Style"/>
          <w:b/>
          <w:sz w:val="27"/>
          <w:szCs w:val="27"/>
        </w:rPr>
        <w:t xml:space="preserve"> </w:t>
      </w:r>
      <w:r w:rsidRPr="004836F6">
        <w:rPr>
          <w:rFonts w:ascii="Bookman Old Style" w:hAnsi="Bookman Old Style"/>
          <w:b/>
          <w:sz w:val="27"/>
          <w:szCs w:val="27"/>
          <w:lang w:val="es-MX"/>
        </w:rPr>
        <w:t xml:space="preserve">De la garantía fundamental del </w:t>
      </w:r>
      <w:r w:rsidRPr="004836F6">
        <w:rPr>
          <w:rFonts w:ascii="Bookman Old Style" w:hAnsi="Bookman Old Style"/>
          <w:b/>
          <w:i/>
          <w:sz w:val="27"/>
          <w:szCs w:val="27"/>
          <w:lang w:val="es-MX"/>
        </w:rPr>
        <w:t>detenido</w:t>
      </w:r>
      <w:r w:rsidRPr="004836F6">
        <w:rPr>
          <w:rFonts w:ascii="Bookman Old Style" w:hAnsi="Bookman Old Style"/>
          <w:b/>
          <w:sz w:val="27"/>
          <w:szCs w:val="27"/>
          <w:lang w:val="es-MX"/>
        </w:rPr>
        <w:t xml:space="preserve"> a ser puesto en libertad si no es investigado y juzgado dentro de un plazo razonable </w:t>
      </w:r>
    </w:p>
    <w:p w:rsidR="0069630E" w:rsidRPr="004836F6" w:rsidRDefault="0069630E" w:rsidP="00CB7766">
      <w:pPr>
        <w:spacing w:after="0" w:line="336" w:lineRule="auto"/>
        <w:ind w:left="709" w:right="51"/>
        <w:jc w:val="both"/>
        <w:rPr>
          <w:rFonts w:ascii="Bookman Old Style" w:hAnsi="Bookman Old Style"/>
          <w:sz w:val="27"/>
          <w:szCs w:val="27"/>
        </w:rPr>
      </w:pPr>
    </w:p>
    <w:p w:rsidR="0069630E" w:rsidRPr="004836F6" w:rsidRDefault="00416B6B" w:rsidP="000D4A91">
      <w:pPr>
        <w:spacing w:after="0" w:line="240" w:lineRule="auto"/>
        <w:ind w:left="709" w:right="476"/>
        <w:jc w:val="both"/>
        <w:rPr>
          <w:rFonts w:ascii="Bookman Old Style" w:hAnsi="Bookman Old Style"/>
          <w:sz w:val="24"/>
          <w:szCs w:val="24"/>
        </w:rPr>
      </w:pPr>
      <w:r w:rsidRPr="004836F6">
        <w:rPr>
          <w:rFonts w:ascii="Bookman Old Style" w:hAnsi="Bookman Old Style"/>
          <w:sz w:val="24"/>
          <w:szCs w:val="24"/>
        </w:rPr>
        <w:t>E</w:t>
      </w:r>
      <w:r w:rsidR="0069630E" w:rsidRPr="004836F6">
        <w:rPr>
          <w:rFonts w:ascii="Bookman Old Style" w:hAnsi="Bookman Old Style"/>
          <w:sz w:val="24"/>
          <w:szCs w:val="24"/>
        </w:rPr>
        <w:t xml:space="preserve">l art. 7-5 de la C.A.D.H., integrante de la Constitución por la vía de su art. 93 inc. 1º, establece que toda persona detenida tendrá derecho a ser juzgada dentro de un plazo razonable o a ser puesta en libertad, sin perjuicio de que continúe el proceso. En este evento, prosigue la norma, la libertad podrá estar condicionada a garantías que aseguren su comparecencia en el juicio. </w:t>
      </w:r>
    </w:p>
    <w:p w:rsidR="00416B6B" w:rsidRPr="004836F6" w:rsidRDefault="00416B6B" w:rsidP="000D4A91">
      <w:pPr>
        <w:spacing w:after="0" w:line="240" w:lineRule="auto"/>
        <w:ind w:left="709" w:right="476"/>
        <w:jc w:val="both"/>
        <w:rPr>
          <w:rFonts w:ascii="Bookman Old Style" w:hAnsi="Bookman Old Style"/>
          <w:sz w:val="24"/>
          <w:szCs w:val="24"/>
        </w:rPr>
      </w:pPr>
    </w:p>
    <w:p w:rsidR="00416B6B" w:rsidRPr="004836F6" w:rsidRDefault="00416B6B" w:rsidP="000D4A91">
      <w:pPr>
        <w:spacing w:after="0" w:line="240" w:lineRule="auto"/>
        <w:ind w:left="709" w:right="476"/>
        <w:jc w:val="both"/>
        <w:rPr>
          <w:rFonts w:ascii="Bookman Old Style" w:hAnsi="Bookman Old Style"/>
          <w:sz w:val="24"/>
          <w:szCs w:val="24"/>
        </w:rPr>
      </w:pPr>
      <w:r w:rsidRPr="004836F6">
        <w:rPr>
          <w:rFonts w:ascii="Bookman Old Style" w:hAnsi="Bookman Old Style"/>
          <w:sz w:val="24"/>
          <w:szCs w:val="24"/>
        </w:rPr>
        <w:t>[…]</w:t>
      </w:r>
    </w:p>
    <w:p w:rsidR="0069630E" w:rsidRPr="004836F6" w:rsidRDefault="0069630E" w:rsidP="000D4A91">
      <w:pPr>
        <w:spacing w:after="0" w:line="240" w:lineRule="auto"/>
        <w:ind w:left="709" w:right="476"/>
        <w:jc w:val="both"/>
        <w:rPr>
          <w:rFonts w:ascii="Bookman Old Style" w:hAnsi="Bookman Old Style"/>
          <w:sz w:val="24"/>
          <w:szCs w:val="24"/>
        </w:rPr>
      </w:pPr>
    </w:p>
    <w:p w:rsidR="0069630E" w:rsidRPr="004836F6" w:rsidRDefault="0069630E" w:rsidP="000D4A91">
      <w:pPr>
        <w:spacing w:after="0" w:line="240" w:lineRule="auto"/>
        <w:ind w:left="709" w:right="476"/>
        <w:jc w:val="both"/>
        <w:rPr>
          <w:rFonts w:ascii="Bookman Old Style" w:hAnsi="Bookman Old Style"/>
          <w:sz w:val="24"/>
          <w:szCs w:val="24"/>
        </w:rPr>
      </w:pPr>
      <w:r w:rsidRPr="004836F6">
        <w:rPr>
          <w:rFonts w:ascii="Bookman Old Style" w:hAnsi="Bookman Old Style"/>
          <w:sz w:val="24"/>
          <w:szCs w:val="24"/>
        </w:rPr>
        <w:t xml:space="preserve">La Corte ha indicado que la detención preventiva de una persona acusada de un delito restringe su derecho a la libertad personal, con el propósito de garantizar otros fines constitucionales.  Sin embargo, también ha precisado que los artículos 29 de la Constitución y 9º del Pacto Internacional de Derechos Políticos y Civiles </w:t>
      </w:r>
      <w:r w:rsidRPr="004836F6">
        <w:rPr>
          <w:rFonts w:ascii="Bookman Old Style" w:hAnsi="Bookman Old Style"/>
          <w:b/>
          <w:i/>
          <w:sz w:val="24"/>
          <w:szCs w:val="24"/>
        </w:rPr>
        <w:t>impiden que se persista en la prolongación de la detención luego de un cierto lapso</w:t>
      </w:r>
      <w:r w:rsidRPr="004836F6">
        <w:rPr>
          <w:rFonts w:ascii="Bookman Old Style" w:hAnsi="Bookman Old Style"/>
          <w:sz w:val="24"/>
          <w:szCs w:val="24"/>
        </w:rPr>
        <w:t xml:space="preserve"> que, además, de ninguna manera puede coincidir con el término de la pena, pues se desvirtuaría la finalidad eminentemente cautelar de la detención preventiva y terminaría convertida en un anticipado cumplimiento de la sanción, con evidente menoscabo del principio de presunción de inocencia. </w:t>
      </w:r>
    </w:p>
    <w:p w:rsidR="0069630E" w:rsidRPr="004836F6" w:rsidRDefault="0069630E" w:rsidP="000D4A91">
      <w:pPr>
        <w:spacing w:after="0" w:line="240" w:lineRule="auto"/>
        <w:ind w:left="709" w:right="476"/>
        <w:jc w:val="both"/>
        <w:rPr>
          <w:rFonts w:ascii="Bookman Old Style" w:hAnsi="Bookman Old Style"/>
          <w:sz w:val="24"/>
          <w:szCs w:val="24"/>
        </w:rPr>
      </w:pPr>
    </w:p>
    <w:p w:rsidR="0069630E" w:rsidRPr="004836F6" w:rsidRDefault="0069630E" w:rsidP="000D4A91">
      <w:pPr>
        <w:spacing w:after="0" w:line="240" w:lineRule="auto"/>
        <w:ind w:left="709" w:right="476"/>
        <w:jc w:val="both"/>
        <w:rPr>
          <w:rFonts w:ascii="Bookman Old Style" w:hAnsi="Bookman Old Style"/>
          <w:sz w:val="24"/>
          <w:szCs w:val="24"/>
        </w:rPr>
      </w:pPr>
      <w:r w:rsidRPr="004836F6">
        <w:rPr>
          <w:rFonts w:ascii="Bookman Old Style" w:hAnsi="Bookman Old Style"/>
          <w:sz w:val="24"/>
          <w:szCs w:val="24"/>
        </w:rPr>
        <w:t xml:space="preserve">Ha sostenido también, en el anterior sentido, que la </w:t>
      </w:r>
      <w:r w:rsidRPr="004836F6">
        <w:rPr>
          <w:rFonts w:ascii="Bookman Old Style" w:hAnsi="Bookman Old Style"/>
          <w:b/>
          <w:i/>
          <w:sz w:val="24"/>
          <w:szCs w:val="24"/>
        </w:rPr>
        <w:t>fijación legal de un término máximo de duración de la detención provisional</w:t>
      </w:r>
      <w:r w:rsidRPr="004836F6">
        <w:rPr>
          <w:rFonts w:ascii="Bookman Old Style" w:hAnsi="Bookman Old Style"/>
          <w:sz w:val="24"/>
          <w:szCs w:val="24"/>
        </w:rPr>
        <w:t xml:space="preserve">, aplicable a las etapas de investigación y juzgamiento, consulta en una sociedad democrática el delicado equilibrio que debe mantenerse entre el interés legítimo del Estado de perseguir eficazmente el delito y sancionar a los responsables y, de otro lado, la necesidad de asegurar la libertad de las personas y la posibilidad de </w:t>
      </w:r>
      <w:r w:rsidRPr="004836F6">
        <w:rPr>
          <w:rFonts w:ascii="Bookman Old Style" w:hAnsi="Bookman Old Style"/>
          <w:sz w:val="24"/>
          <w:szCs w:val="24"/>
        </w:rPr>
        <w:lastRenderedPageBreak/>
        <w:t>garantizar un proceso justo e imparcial. La detención temporal es una medida cautelar pero, innegablemente, “</w:t>
      </w:r>
      <w:r w:rsidRPr="004836F6">
        <w:rPr>
          <w:rFonts w:ascii="Bookman Old Style" w:hAnsi="Bookman Old Style"/>
          <w:i/>
          <w:sz w:val="24"/>
          <w:szCs w:val="24"/>
        </w:rPr>
        <w:t>trasciende sus efectos procesales y repercute negativamente en la esfera de la libertad personal del inculpado</w:t>
      </w:r>
      <w:r w:rsidRPr="004836F6">
        <w:rPr>
          <w:rFonts w:ascii="Bookman Old Style" w:hAnsi="Bookman Old Style"/>
          <w:sz w:val="24"/>
          <w:szCs w:val="24"/>
        </w:rPr>
        <w:t>”</w:t>
      </w:r>
      <w:r w:rsidRPr="004836F6">
        <w:rPr>
          <w:rFonts w:ascii="Bookman Old Style" w:hAnsi="Bookman Old Style"/>
          <w:i/>
          <w:sz w:val="24"/>
          <w:szCs w:val="24"/>
        </w:rPr>
        <w:t xml:space="preserve">, </w:t>
      </w:r>
      <w:r w:rsidRPr="004836F6">
        <w:rPr>
          <w:rFonts w:ascii="Bookman Old Style" w:hAnsi="Bookman Old Style"/>
          <w:sz w:val="24"/>
          <w:szCs w:val="24"/>
        </w:rPr>
        <w:t xml:space="preserve">lo cual revela la importancia de señalar términos máximos de su duración. </w:t>
      </w:r>
    </w:p>
    <w:p w:rsidR="0069630E" w:rsidRPr="004836F6" w:rsidRDefault="0069630E" w:rsidP="000D4A91">
      <w:pPr>
        <w:spacing w:after="0" w:line="240" w:lineRule="auto"/>
        <w:ind w:left="709" w:right="476"/>
        <w:jc w:val="both"/>
        <w:rPr>
          <w:rFonts w:ascii="Bookman Old Style" w:hAnsi="Bookman Old Style"/>
          <w:sz w:val="24"/>
          <w:szCs w:val="24"/>
        </w:rPr>
      </w:pPr>
    </w:p>
    <w:p w:rsidR="000D4A91" w:rsidRPr="004836F6" w:rsidRDefault="0069630E" w:rsidP="000D4A91">
      <w:pPr>
        <w:spacing w:after="0" w:line="240" w:lineRule="auto"/>
        <w:ind w:left="709" w:right="476"/>
        <w:jc w:val="both"/>
        <w:rPr>
          <w:rFonts w:ascii="Bookman Old Style" w:hAnsi="Bookman Old Style"/>
          <w:sz w:val="24"/>
          <w:szCs w:val="24"/>
        </w:rPr>
      </w:pPr>
      <w:r w:rsidRPr="004836F6">
        <w:rPr>
          <w:rFonts w:ascii="Bookman Old Style" w:hAnsi="Bookman Old Style"/>
          <w:sz w:val="24"/>
          <w:szCs w:val="24"/>
        </w:rPr>
        <w:t xml:space="preserve">Sin embargo, en tanto manifestación del debido proceso, el plazo razonable necesita de una concreción </w:t>
      </w:r>
      <w:r w:rsidRPr="004836F6">
        <w:rPr>
          <w:rFonts w:ascii="Bookman Old Style" w:hAnsi="Bookman Old Style"/>
          <w:i/>
          <w:sz w:val="24"/>
          <w:szCs w:val="24"/>
        </w:rPr>
        <w:t>legislativa</w:t>
      </w:r>
      <w:r w:rsidRPr="004836F6">
        <w:rPr>
          <w:rFonts w:ascii="Bookman Old Style" w:hAnsi="Bookman Old Style"/>
          <w:sz w:val="24"/>
          <w:szCs w:val="24"/>
        </w:rPr>
        <w:t xml:space="preserve"> que, traducida a las formas propias del juicio, establezca los </w:t>
      </w:r>
      <w:r w:rsidRPr="004836F6">
        <w:rPr>
          <w:rFonts w:ascii="Bookman Old Style" w:hAnsi="Bookman Old Style"/>
          <w:i/>
          <w:sz w:val="24"/>
          <w:szCs w:val="24"/>
        </w:rPr>
        <w:t>términos específicos</w:t>
      </w:r>
      <w:r w:rsidRPr="004836F6">
        <w:rPr>
          <w:rFonts w:ascii="Bookman Old Style" w:hAnsi="Bookman Old Style"/>
          <w:sz w:val="24"/>
          <w:szCs w:val="24"/>
        </w:rPr>
        <w:t xml:space="preserve"> que ha de respetar el Estado para perseguir penalmente a una persona con restricción de la libertad personal. Ejemplo de ello es el establecimiento de causales de libertad por vencimiento de términos (cfr. art. 317 </w:t>
      </w:r>
      <w:proofErr w:type="spellStart"/>
      <w:r w:rsidRPr="004836F6">
        <w:rPr>
          <w:rFonts w:ascii="Bookman Old Style" w:hAnsi="Bookman Old Style"/>
          <w:sz w:val="24"/>
          <w:szCs w:val="24"/>
        </w:rPr>
        <w:t>nums</w:t>
      </w:r>
      <w:proofErr w:type="spellEnd"/>
      <w:r w:rsidRPr="004836F6">
        <w:rPr>
          <w:rFonts w:ascii="Bookman Old Style" w:hAnsi="Bookman Old Style"/>
          <w:sz w:val="24"/>
          <w:szCs w:val="24"/>
        </w:rPr>
        <w:t xml:space="preserve">. 4 al 6 de la Ley 906 de 2004 y art. 365 </w:t>
      </w:r>
      <w:proofErr w:type="spellStart"/>
      <w:r w:rsidRPr="004836F6">
        <w:rPr>
          <w:rFonts w:ascii="Bookman Old Style" w:hAnsi="Bookman Old Style"/>
          <w:sz w:val="24"/>
          <w:szCs w:val="24"/>
        </w:rPr>
        <w:t>nums</w:t>
      </w:r>
      <w:proofErr w:type="spellEnd"/>
      <w:r w:rsidRPr="004836F6">
        <w:rPr>
          <w:rFonts w:ascii="Bookman Old Style" w:hAnsi="Bookman Old Style"/>
          <w:sz w:val="24"/>
          <w:szCs w:val="24"/>
        </w:rPr>
        <w:t xml:space="preserve">. 4 y 5 de la Ley 600 de 2000) o la fijación legal de un </w:t>
      </w:r>
      <w:r w:rsidRPr="004836F6">
        <w:rPr>
          <w:rFonts w:ascii="Bookman Old Style" w:hAnsi="Bookman Old Style"/>
          <w:i/>
          <w:sz w:val="24"/>
          <w:szCs w:val="24"/>
        </w:rPr>
        <w:t>término máximo de vigencia de la detención preventiva</w:t>
      </w:r>
      <w:r w:rsidRPr="004836F6">
        <w:rPr>
          <w:rFonts w:ascii="Bookman Old Style" w:hAnsi="Bookman Old Style"/>
          <w:sz w:val="24"/>
          <w:szCs w:val="24"/>
        </w:rPr>
        <w:t>.</w:t>
      </w:r>
      <w:r w:rsidR="000D4A91" w:rsidRPr="004836F6">
        <w:rPr>
          <w:rFonts w:ascii="Bookman Old Style" w:hAnsi="Bookman Old Style"/>
          <w:sz w:val="24"/>
          <w:szCs w:val="24"/>
        </w:rPr>
        <w:t xml:space="preserve"> </w:t>
      </w:r>
    </w:p>
    <w:p w:rsidR="00774F98" w:rsidRPr="004836F6" w:rsidRDefault="00774F98" w:rsidP="000D4A91">
      <w:pPr>
        <w:spacing w:after="0" w:line="336" w:lineRule="auto"/>
        <w:ind w:left="709" w:right="-91"/>
        <w:jc w:val="both"/>
        <w:rPr>
          <w:rFonts w:ascii="Bookman Old Style" w:hAnsi="Bookman Old Style"/>
          <w:sz w:val="24"/>
          <w:szCs w:val="24"/>
        </w:rPr>
      </w:pPr>
    </w:p>
    <w:p w:rsidR="0069630E" w:rsidRPr="004836F6" w:rsidRDefault="000D4A91" w:rsidP="000D4A91">
      <w:pPr>
        <w:spacing w:after="0" w:line="336" w:lineRule="auto"/>
        <w:ind w:left="709" w:right="-91"/>
        <w:jc w:val="both"/>
        <w:rPr>
          <w:rFonts w:ascii="Bookman Old Style" w:hAnsi="Bookman Old Style"/>
          <w:sz w:val="24"/>
          <w:szCs w:val="24"/>
        </w:rPr>
      </w:pPr>
      <w:r w:rsidRPr="004836F6">
        <w:rPr>
          <w:rFonts w:ascii="Bookman Old Style" w:hAnsi="Bookman Old Style"/>
          <w:b/>
          <w:sz w:val="27"/>
          <w:szCs w:val="27"/>
        </w:rPr>
        <w:t>2.2</w:t>
      </w:r>
      <w:r w:rsidR="0069630E" w:rsidRPr="004836F6">
        <w:rPr>
          <w:rFonts w:ascii="Bookman Old Style" w:hAnsi="Bookman Old Style"/>
          <w:b/>
          <w:sz w:val="27"/>
          <w:szCs w:val="27"/>
        </w:rPr>
        <w:t xml:space="preserve"> Fijación </w:t>
      </w:r>
      <w:r w:rsidR="0069630E" w:rsidRPr="004836F6">
        <w:rPr>
          <w:rFonts w:ascii="Bookman Old Style" w:hAnsi="Bookman Old Style"/>
          <w:b/>
          <w:i/>
          <w:sz w:val="27"/>
          <w:szCs w:val="27"/>
        </w:rPr>
        <w:t>legal</w:t>
      </w:r>
      <w:r w:rsidR="0069630E" w:rsidRPr="004836F6">
        <w:rPr>
          <w:rFonts w:ascii="Bookman Old Style" w:hAnsi="Bookman Old Style"/>
          <w:b/>
          <w:sz w:val="27"/>
          <w:szCs w:val="27"/>
        </w:rPr>
        <w:t xml:space="preserve"> de un plazo máximo de vigencia de la detención preventiva</w:t>
      </w:r>
    </w:p>
    <w:p w:rsidR="0069630E" w:rsidRPr="004836F6" w:rsidRDefault="0069630E" w:rsidP="00CB7766">
      <w:pPr>
        <w:spacing w:after="0" w:line="336" w:lineRule="auto"/>
        <w:ind w:left="709" w:right="51"/>
        <w:jc w:val="both"/>
        <w:rPr>
          <w:rFonts w:ascii="Bookman Old Style" w:hAnsi="Bookman Old Style"/>
          <w:sz w:val="27"/>
          <w:szCs w:val="27"/>
        </w:rPr>
      </w:pPr>
    </w:p>
    <w:p w:rsidR="0069630E" w:rsidRPr="004836F6" w:rsidRDefault="000D4A91" w:rsidP="000D4A91">
      <w:pPr>
        <w:spacing w:after="0" w:line="240" w:lineRule="auto"/>
        <w:ind w:left="709" w:right="476"/>
        <w:jc w:val="both"/>
        <w:rPr>
          <w:rFonts w:ascii="Bookman Old Style" w:hAnsi="Bookman Old Style"/>
          <w:sz w:val="24"/>
          <w:szCs w:val="24"/>
        </w:rPr>
      </w:pPr>
      <w:r w:rsidRPr="004836F6">
        <w:rPr>
          <w:rFonts w:ascii="Bookman Old Style" w:hAnsi="Bookman Old Style"/>
          <w:sz w:val="24"/>
          <w:szCs w:val="24"/>
        </w:rPr>
        <w:t>M</w:t>
      </w:r>
      <w:r w:rsidR="0069630E" w:rsidRPr="004836F6">
        <w:rPr>
          <w:rFonts w:ascii="Bookman Old Style" w:hAnsi="Bookman Old Style"/>
          <w:sz w:val="24"/>
          <w:szCs w:val="24"/>
        </w:rPr>
        <w:t xml:space="preserve">ediante el art. 1º de la Ley 1760 del 6 de julio de 2015, el legislador estableció un </w:t>
      </w:r>
      <w:r w:rsidR="0069630E" w:rsidRPr="004836F6">
        <w:rPr>
          <w:rFonts w:ascii="Bookman Old Style" w:hAnsi="Bookman Old Style"/>
          <w:i/>
          <w:sz w:val="24"/>
          <w:szCs w:val="24"/>
        </w:rPr>
        <w:t>término máximo de vigencia de la medida de aseguramiento de detención preventiva</w:t>
      </w:r>
      <w:r w:rsidR="0069630E" w:rsidRPr="004836F6">
        <w:rPr>
          <w:rFonts w:ascii="Bookman Old Style" w:hAnsi="Bookman Old Style"/>
          <w:sz w:val="24"/>
          <w:szCs w:val="24"/>
        </w:rPr>
        <w:t xml:space="preserve">. Dicha norma, que nunca entró en vigencia porque fue subrogada por el art. 1º de la Ley 1786 del 1º de julio de 2016, disponía que, salvo lo previsto en los parágrafos 2º y 3º del art. 317 de la Ley 906 de 2004, </w:t>
      </w:r>
      <w:r w:rsidR="0069630E" w:rsidRPr="004836F6">
        <w:rPr>
          <w:rFonts w:ascii="Bookman Old Style" w:hAnsi="Bookman Old Style"/>
          <w:i/>
          <w:sz w:val="24"/>
          <w:szCs w:val="24"/>
        </w:rPr>
        <w:t xml:space="preserve">el término de las medidas de aseguramiento privativas de la libertad no podrá exceder de un año, </w:t>
      </w:r>
      <w:r w:rsidR="0069630E" w:rsidRPr="004836F6">
        <w:rPr>
          <w:rFonts w:ascii="Bookman Old Style" w:hAnsi="Bookman Old Style"/>
          <w:sz w:val="24"/>
          <w:szCs w:val="24"/>
        </w:rPr>
        <w:t xml:space="preserve">prorrogable por un año más en determinados casos. </w:t>
      </w:r>
    </w:p>
    <w:p w:rsidR="0069630E" w:rsidRPr="004836F6" w:rsidRDefault="0069630E" w:rsidP="000D4A91">
      <w:pPr>
        <w:spacing w:after="0" w:line="240" w:lineRule="auto"/>
        <w:ind w:left="709" w:right="476"/>
        <w:jc w:val="both"/>
        <w:rPr>
          <w:rFonts w:ascii="Bookman Old Style" w:hAnsi="Bookman Old Style"/>
          <w:sz w:val="24"/>
          <w:szCs w:val="24"/>
        </w:rPr>
      </w:pPr>
    </w:p>
    <w:p w:rsidR="0069630E" w:rsidRPr="004836F6" w:rsidRDefault="0069630E" w:rsidP="000D4A91">
      <w:pPr>
        <w:spacing w:after="0" w:line="240" w:lineRule="auto"/>
        <w:ind w:left="709" w:right="476"/>
        <w:jc w:val="both"/>
        <w:rPr>
          <w:rFonts w:ascii="Bookman Old Style" w:hAnsi="Bookman Old Style"/>
          <w:sz w:val="24"/>
          <w:szCs w:val="24"/>
        </w:rPr>
      </w:pPr>
      <w:r w:rsidRPr="004836F6">
        <w:rPr>
          <w:rFonts w:ascii="Bookman Old Style" w:hAnsi="Bookman Old Style"/>
          <w:sz w:val="24"/>
          <w:szCs w:val="24"/>
        </w:rPr>
        <w:t xml:space="preserve">Con la entrada en vigor de </w:t>
      </w:r>
      <w:r w:rsidRPr="004836F6">
        <w:rPr>
          <w:rFonts w:ascii="Bookman Old Style" w:hAnsi="Bookman Old Style"/>
          <w:i/>
          <w:sz w:val="24"/>
          <w:szCs w:val="24"/>
        </w:rPr>
        <w:t>los términos</w:t>
      </w:r>
      <w:r w:rsidRPr="004836F6">
        <w:rPr>
          <w:rFonts w:ascii="Bookman Old Style" w:hAnsi="Bookman Old Style"/>
          <w:sz w:val="24"/>
          <w:szCs w:val="24"/>
        </w:rPr>
        <w:t xml:space="preserve"> previstos en el art. 1º de la Ley 1786 de 2016, a partir del 1º de julio de 2017 (según el art. 5º </w:t>
      </w:r>
      <w:r w:rsidRPr="004836F6">
        <w:rPr>
          <w:rFonts w:ascii="Bookman Old Style" w:hAnsi="Bookman Old Style"/>
          <w:i/>
          <w:sz w:val="24"/>
          <w:szCs w:val="24"/>
        </w:rPr>
        <w:t>ídem</w:t>
      </w:r>
      <w:r w:rsidRPr="004836F6">
        <w:rPr>
          <w:rFonts w:ascii="Bookman Old Style" w:hAnsi="Bookman Old Style"/>
          <w:sz w:val="24"/>
          <w:szCs w:val="24"/>
        </w:rPr>
        <w:t>),</w:t>
      </w:r>
      <w:r w:rsidRPr="004836F6">
        <w:rPr>
          <w:rFonts w:ascii="Bookman Old Style" w:hAnsi="Bookman Old Style"/>
          <w:b/>
          <w:sz w:val="24"/>
          <w:szCs w:val="24"/>
        </w:rPr>
        <w:t xml:space="preserve"> es dable afirmar que en Colombia, salvo lo previsto en los parágrafos 2º y 3º del art. 317 de la Ley 906 de 2004, “</w:t>
      </w:r>
      <w:r w:rsidRPr="004836F6">
        <w:rPr>
          <w:rFonts w:ascii="Bookman Old Style" w:hAnsi="Bookman Old Style"/>
          <w:b/>
          <w:i/>
          <w:sz w:val="24"/>
          <w:szCs w:val="24"/>
        </w:rPr>
        <w:t>el término de las medidas de aseguramiento privativas de la libertad no podrá exceder de un año</w:t>
      </w:r>
      <w:r w:rsidRPr="004836F6">
        <w:rPr>
          <w:rFonts w:ascii="Bookman Old Style" w:hAnsi="Bookman Old Style"/>
          <w:i/>
          <w:sz w:val="24"/>
          <w:szCs w:val="24"/>
        </w:rPr>
        <w:t xml:space="preserve">. Cuando el proceso se surta ante la justicia penal especializada, o sean tres o más los acusados contra quienes estuviere vigente la detención preventiva, o se trate de investigación o juicio de actos de corrupción de los que trata la Ley 1474 de 2011 o de cualquiera de las conductas previstas en el Título IV del Libro Segundo del C.P., </w:t>
      </w:r>
      <w:r w:rsidRPr="004836F6">
        <w:rPr>
          <w:rFonts w:ascii="Bookman Old Style" w:hAnsi="Bookman Old Style"/>
          <w:b/>
          <w:i/>
          <w:sz w:val="24"/>
          <w:szCs w:val="24"/>
        </w:rPr>
        <w:t>dicho término podrá prorrogarse, a solicitud del fiscal o del apoderado de la víctima, hasta por el mismo término inicial</w:t>
      </w:r>
      <w:r w:rsidRPr="004836F6">
        <w:rPr>
          <w:rFonts w:ascii="Bookman Old Style" w:hAnsi="Bookman Old Style"/>
          <w:i/>
          <w:sz w:val="24"/>
          <w:szCs w:val="24"/>
        </w:rPr>
        <w:t xml:space="preserve">. Vencido el término, el juez de control de garantías, a petición de la Fiscalía, de la defensa o del apoderado de la </w:t>
      </w:r>
      <w:r w:rsidRPr="004836F6">
        <w:rPr>
          <w:rFonts w:ascii="Bookman Old Style" w:hAnsi="Bookman Old Style"/>
          <w:i/>
          <w:sz w:val="24"/>
          <w:szCs w:val="24"/>
        </w:rPr>
        <w:lastRenderedPageBreak/>
        <w:t>víctima podrá sustituir la medida de aseguramiento privativa de la libertad de que se trate, por otra u otras medidas de aseguramiento no privativas de la libertad de que trata el presente artículo</w:t>
      </w:r>
      <w:r w:rsidRPr="004836F6">
        <w:rPr>
          <w:rFonts w:ascii="Bookman Old Style" w:hAnsi="Bookman Old Style"/>
          <w:sz w:val="24"/>
          <w:szCs w:val="24"/>
        </w:rPr>
        <w:t xml:space="preserve">”. </w:t>
      </w:r>
    </w:p>
    <w:p w:rsidR="0069630E" w:rsidRPr="004836F6" w:rsidRDefault="0069630E" w:rsidP="000D4A91">
      <w:pPr>
        <w:spacing w:after="0" w:line="240" w:lineRule="auto"/>
        <w:ind w:left="709" w:right="476"/>
        <w:jc w:val="both"/>
        <w:rPr>
          <w:rFonts w:ascii="Bookman Old Style" w:hAnsi="Bookman Old Style"/>
          <w:sz w:val="24"/>
          <w:szCs w:val="24"/>
        </w:rPr>
      </w:pPr>
    </w:p>
    <w:p w:rsidR="0069630E" w:rsidRPr="004836F6" w:rsidRDefault="0069630E" w:rsidP="000D4A91">
      <w:pPr>
        <w:spacing w:after="0" w:line="240" w:lineRule="auto"/>
        <w:ind w:left="709" w:right="476"/>
        <w:jc w:val="both"/>
        <w:rPr>
          <w:rFonts w:ascii="Bookman Old Style" w:hAnsi="Bookman Old Style"/>
          <w:i/>
          <w:sz w:val="24"/>
          <w:szCs w:val="24"/>
        </w:rPr>
      </w:pPr>
      <w:r w:rsidRPr="004836F6">
        <w:rPr>
          <w:rFonts w:ascii="Bookman Old Style" w:hAnsi="Bookman Old Style"/>
          <w:sz w:val="24"/>
          <w:szCs w:val="24"/>
        </w:rPr>
        <w:t xml:space="preserve">Como lo destacó la Corte Constitucional en la sentencia C-221 de 2017, el propósito de la norma fue el de reforzar el uso excepcional de la medida de aseguramiento en el proceso penal, mediante introducción de límites materiales a la imposición de la prisión preventiva y </w:t>
      </w:r>
      <w:r w:rsidRPr="004836F6">
        <w:rPr>
          <w:rFonts w:ascii="Bookman Old Style" w:hAnsi="Bookman Old Style"/>
          <w:b/>
          <w:i/>
          <w:sz w:val="24"/>
          <w:szCs w:val="24"/>
        </w:rPr>
        <w:t>la fijación de términos máximos de duración</w:t>
      </w:r>
      <w:r w:rsidRPr="004836F6">
        <w:rPr>
          <w:rFonts w:ascii="Bookman Old Style" w:hAnsi="Bookman Old Style"/>
          <w:sz w:val="24"/>
          <w:szCs w:val="24"/>
        </w:rPr>
        <w:t xml:space="preserve">, tanto en cada una de las fases del proceso (art. 317 </w:t>
      </w:r>
      <w:proofErr w:type="spellStart"/>
      <w:r w:rsidRPr="004836F6">
        <w:rPr>
          <w:rFonts w:ascii="Bookman Old Style" w:hAnsi="Bookman Old Style"/>
          <w:sz w:val="24"/>
          <w:szCs w:val="24"/>
        </w:rPr>
        <w:t>nums</w:t>
      </w:r>
      <w:proofErr w:type="spellEnd"/>
      <w:r w:rsidRPr="004836F6">
        <w:rPr>
          <w:rFonts w:ascii="Bookman Old Style" w:hAnsi="Bookman Old Style"/>
          <w:sz w:val="24"/>
          <w:szCs w:val="24"/>
        </w:rPr>
        <w:t xml:space="preserve">. 4 al 6 de la Ley 906 de 2004), como </w:t>
      </w:r>
      <w:r w:rsidRPr="004836F6">
        <w:rPr>
          <w:rFonts w:ascii="Bookman Old Style" w:hAnsi="Bookman Old Style"/>
          <w:b/>
          <w:i/>
          <w:sz w:val="24"/>
          <w:szCs w:val="24"/>
        </w:rPr>
        <w:t>en general para todo el trámite</w:t>
      </w:r>
      <w:r w:rsidRPr="004836F6">
        <w:rPr>
          <w:rFonts w:ascii="Bookman Old Style" w:hAnsi="Bookman Old Style"/>
          <w:sz w:val="24"/>
          <w:szCs w:val="24"/>
        </w:rPr>
        <w:t xml:space="preserve">. </w:t>
      </w:r>
    </w:p>
    <w:p w:rsidR="00826557" w:rsidRPr="004836F6" w:rsidRDefault="00826557" w:rsidP="00CB7766">
      <w:pPr>
        <w:spacing w:after="0" w:line="336" w:lineRule="auto"/>
        <w:ind w:left="709" w:right="51"/>
        <w:jc w:val="both"/>
        <w:rPr>
          <w:rFonts w:ascii="Bookman Old Style" w:hAnsi="Bookman Old Style"/>
          <w:i/>
          <w:sz w:val="27"/>
          <w:szCs w:val="27"/>
        </w:rPr>
      </w:pPr>
    </w:p>
    <w:p w:rsidR="0069630E" w:rsidRPr="004836F6" w:rsidRDefault="00480453" w:rsidP="00A86A29">
      <w:pPr>
        <w:spacing w:after="0" w:line="336" w:lineRule="auto"/>
        <w:ind w:right="51"/>
        <w:jc w:val="both"/>
        <w:rPr>
          <w:rFonts w:ascii="Bookman Old Style" w:hAnsi="Bookman Old Style"/>
          <w:b/>
          <w:sz w:val="27"/>
          <w:szCs w:val="27"/>
        </w:rPr>
      </w:pPr>
      <w:r w:rsidRPr="004836F6">
        <w:rPr>
          <w:rFonts w:ascii="Bookman Old Style" w:hAnsi="Bookman Old Style"/>
          <w:b/>
          <w:sz w:val="27"/>
          <w:szCs w:val="27"/>
        </w:rPr>
        <w:tab/>
      </w:r>
      <w:r w:rsidR="00A86A29" w:rsidRPr="004836F6">
        <w:rPr>
          <w:rFonts w:ascii="Bookman Old Style" w:hAnsi="Bookman Old Style"/>
          <w:b/>
          <w:sz w:val="27"/>
          <w:szCs w:val="27"/>
        </w:rPr>
        <w:t>2.</w:t>
      </w:r>
      <w:r w:rsidR="0069630E" w:rsidRPr="004836F6">
        <w:rPr>
          <w:rFonts w:ascii="Bookman Old Style" w:hAnsi="Bookman Old Style"/>
          <w:b/>
          <w:sz w:val="27"/>
          <w:szCs w:val="27"/>
        </w:rPr>
        <w:t>3 Situaciones en las que se aplica el término máximo de vigencia de la detención preventiva</w:t>
      </w:r>
    </w:p>
    <w:p w:rsidR="0069630E" w:rsidRPr="004836F6" w:rsidRDefault="0069630E" w:rsidP="00A86A29">
      <w:pPr>
        <w:spacing w:after="0" w:line="336" w:lineRule="auto"/>
        <w:ind w:right="51"/>
        <w:jc w:val="both"/>
        <w:rPr>
          <w:rFonts w:ascii="Bookman Old Style" w:hAnsi="Bookman Old Style"/>
          <w:b/>
          <w:sz w:val="27"/>
          <w:szCs w:val="27"/>
        </w:rPr>
      </w:pPr>
    </w:p>
    <w:p w:rsidR="0069630E" w:rsidRPr="004836F6" w:rsidRDefault="00480453" w:rsidP="00A86A29">
      <w:pPr>
        <w:spacing w:after="0" w:line="336" w:lineRule="auto"/>
        <w:ind w:right="51"/>
        <w:jc w:val="both"/>
        <w:rPr>
          <w:rFonts w:ascii="Bookman Old Style" w:hAnsi="Bookman Old Style"/>
          <w:b/>
          <w:sz w:val="27"/>
          <w:szCs w:val="27"/>
        </w:rPr>
      </w:pPr>
      <w:r w:rsidRPr="004836F6">
        <w:rPr>
          <w:rFonts w:ascii="Bookman Old Style" w:hAnsi="Bookman Old Style"/>
          <w:b/>
          <w:sz w:val="27"/>
          <w:szCs w:val="27"/>
        </w:rPr>
        <w:tab/>
      </w:r>
      <w:r w:rsidR="00A86A29" w:rsidRPr="004836F6">
        <w:rPr>
          <w:rFonts w:ascii="Bookman Old Style" w:hAnsi="Bookman Old Style"/>
          <w:b/>
          <w:sz w:val="27"/>
          <w:szCs w:val="27"/>
        </w:rPr>
        <w:t>2.</w:t>
      </w:r>
      <w:r w:rsidR="0069630E" w:rsidRPr="004836F6">
        <w:rPr>
          <w:rFonts w:ascii="Bookman Old Style" w:hAnsi="Bookman Old Style"/>
          <w:b/>
          <w:sz w:val="27"/>
          <w:szCs w:val="27"/>
        </w:rPr>
        <w:t xml:space="preserve">3.1 Referente </w:t>
      </w:r>
      <w:r w:rsidR="0069630E" w:rsidRPr="004836F6">
        <w:rPr>
          <w:rFonts w:ascii="Bookman Old Style" w:hAnsi="Bookman Old Style"/>
          <w:b/>
          <w:i/>
          <w:sz w:val="27"/>
          <w:szCs w:val="27"/>
        </w:rPr>
        <w:t>inicial</w:t>
      </w:r>
      <w:r w:rsidR="0069630E" w:rsidRPr="004836F6">
        <w:rPr>
          <w:rFonts w:ascii="Bookman Old Style" w:hAnsi="Bookman Old Style"/>
          <w:b/>
          <w:sz w:val="27"/>
          <w:szCs w:val="27"/>
        </w:rPr>
        <w:t xml:space="preserve"> de contabilización del plazo</w:t>
      </w:r>
    </w:p>
    <w:p w:rsidR="00A86A29" w:rsidRPr="004836F6" w:rsidRDefault="00A86A29" w:rsidP="00A86A29">
      <w:pPr>
        <w:spacing w:after="0" w:line="240" w:lineRule="auto"/>
        <w:ind w:left="709" w:right="476"/>
        <w:jc w:val="both"/>
        <w:rPr>
          <w:rFonts w:ascii="Bookman Old Style" w:hAnsi="Bookman Old Style"/>
          <w:sz w:val="24"/>
          <w:szCs w:val="24"/>
        </w:rPr>
      </w:pPr>
    </w:p>
    <w:p w:rsidR="0069630E" w:rsidRPr="004836F6" w:rsidRDefault="0069630E" w:rsidP="00A86A29">
      <w:pPr>
        <w:spacing w:after="0" w:line="240" w:lineRule="auto"/>
        <w:ind w:left="709" w:right="476"/>
        <w:jc w:val="both"/>
        <w:rPr>
          <w:rFonts w:ascii="Bookman Old Style" w:hAnsi="Bookman Old Style"/>
          <w:sz w:val="24"/>
          <w:szCs w:val="24"/>
          <w:u w:val="single"/>
        </w:rPr>
      </w:pPr>
      <w:r w:rsidRPr="004836F6">
        <w:rPr>
          <w:rFonts w:ascii="Bookman Old Style" w:hAnsi="Bookman Old Style"/>
          <w:sz w:val="24"/>
          <w:szCs w:val="24"/>
        </w:rPr>
        <w:t xml:space="preserve">Cabe precisar que </w:t>
      </w:r>
      <w:r w:rsidRPr="004836F6">
        <w:rPr>
          <w:rFonts w:ascii="Bookman Old Style" w:hAnsi="Bookman Old Style"/>
          <w:sz w:val="24"/>
          <w:szCs w:val="24"/>
          <w:u w:val="single"/>
        </w:rPr>
        <w:t xml:space="preserve">ese límite máximo de duración de la detención preventiva, incorporado al ordenamiento jurídico mediante el art. 1º de la Ley 1786 de 2016, cobija </w:t>
      </w:r>
      <w:r w:rsidRPr="004836F6">
        <w:rPr>
          <w:rFonts w:ascii="Bookman Old Style" w:hAnsi="Bookman Old Style"/>
          <w:i/>
          <w:sz w:val="24"/>
          <w:szCs w:val="24"/>
          <w:u w:val="single"/>
        </w:rPr>
        <w:t>detenciones que han sido impuestas</w:t>
      </w:r>
      <w:r w:rsidRPr="004836F6">
        <w:rPr>
          <w:rFonts w:ascii="Bookman Old Style" w:hAnsi="Bookman Old Style"/>
          <w:sz w:val="24"/>
          <w:szCs w:val="24"/>
          <w:u w:val="single"/>
        </w:rPr>
        <w:t xml:space="preserve"> </w:t>
      </w:r>
      <w:r w:rsidRPr="004836F6">
        <w:rPr>
          <w:rFonts w:ascii="Bookman Old Style" w:hAnsi="Bookman Old Style"/>
          <w:b/>
          <w:i/>
          <w:sz w:val="24"/>
          <w:szCs w:val="24"/>
          <w:u w:val="single"/>
        </w:rPr>
        <w:t>con anterioridad</w:t>
      </w:r>
      <w:r w:rsidRPr="004836F6">
        <w:rPr>
          <w:rFonts w:ascii="Bookman Old Style" w:hAnsi="Bookman Old Style"/>
          <w:sz w:val="24"/>
          <w:szCs w:val="24"/>
          <w:u w:val="single"/>
        </w:rPr>
        <w:t xml:space="preserve"> a la fecha de entrada en vigencia de la norma.</w:t>
      </w:r>
    </w:p>
    <w:p w:rsidR="0069630E" w:rsidRPr="004836F6" w:rsidRDefault="0069630E" w:rsidP="00A86A29">
      <w:pPr>
        <w:spacing w:after="0" w:line="240" w:lineRule="auto"/>
        <w:ind w:left="709" w:right="476"/>
        <w:jc w:val="both"/>
        <w:rPr>
          <w:rFonts w:ascii="Bookman Old Style" w:hAnsi="Bookman Old Style"/>
          <w:sz w:val="24"/>
          <w:szCs w:val="24"/>
        </w:rPr>
      </w:pPr>
    </w:p>
    <w:p w:rsidR="0069630E" w:rsidRPr="004836F6" w:rsidRDefault="0069630E" w:rsidP="00A86A29">
      <w:pPr>
        <w:spacing w:after="0" w:line="240" w:lineRule="auto"/>
        <w:ind w:left="709" w:right="476"/>
        <w:jc w:val="both"/>
        <w:rPr>
          <w:rFonts w:ascii="Bookman Old Style" w:hAnsi="Bookman Old Style"/>
          <w:sz w:val="24"/>
          <w:szCs w:val="24"/>
        </w:rPr>
      </w:pPr>
      <w:r w:rsidRPr="004836F6">
        <w:rPr>
          <w:rFonts w:ascii="Bookman Old Style" w:hAnsi="Bookman Old Style"/>
          <w:sz w:val="24"/>
          <w:szCs w:val="24"/>
        </w:rPr>
        <w:t xml:space="preserve">En primer lugar, debido a que se trata de la </w:t>
      </w:r>
      <w:r w:rsidRPr="004836F6">
        <w:rPr>
          <w:rFonts w:ascii="Bookman Old Style" w:hAnsi="Bookman Old Style"/>
          <w:i/>
          <w:sz w:val="24"/>
          <w:szCs w:val="24"/>
        </w:rPr>
        <w:t>creación</w:t>
      </w:r>
      <w:r w:rsidRPr="004836F6">
        <w:rPr>
          <w:rFonts w:ascii="Bookman Old Style" w:hAnsi="Bookman Old Style"/>
          <w:sz w:val="24"/>
          <w:szCs w:val="24"/>
        </w:rPr>
        <w:t xml:space="preserve"> o establecimiento de un </w:t>
      </w:r>
      <w:r w:rsidRPr="004836F6">
        <w:rPr>
          <w:rFonts w:ascii="Bookman Old Style" w:hAnsi="Bookman Old Style"/>
          <w:i/>
          <w:sz w:val="24"/>
          <w:szCs w:val="24"/>
        </w:rPr>
        <w:t>plazo</w:t>
      </w:r>
      <w:r w:rsidRPr="004836F6">
        <w:rPr>
          <w:rFonts w:ascii="Bookman Old Style" w:hAnsi="Bookman Old Style"/>
          <w:sz w:val="24"/>
          <w:szCs w:val="24"/>
        </w:rPr>
        <w:t xml:space="preserve"> máximo para investigar y juzgar con restricción de la libertad personal, cuyo referente inicial de conteo siempre será la fecha de detención. Por consiguiente, en ese aspecto no es dable aplicar el art. 40 inc. 2° de la Ley 153 de 1887, modificado por el C.G.P.</w:t>
      </w:r>
      <w:r w:rsidRPr="004836F6">
        <w:rPr>
          <w:rStyle w:val="Refdenotaalpie"/>
          <w:rFonts w:ascii="Bookman Old Style" w:hAnsi="Bookman Old Style"/>
          <w:sz w:val="24"/>
          <w:szCs w:val="24"/>
        </w:rPr>
        <w:footnoteReference w:id="9"/>
      </w:r>
      <w:r w:rsidRPr="004836F6">
        <w:rPr>
          <w:rFonts w:ascii="Bookman Old Style" w:hAnsi="Bookman Old Style"/>
          <w:sz w:val="24"/>
          <w:szCs w:val="24"/>
        </w:rPr>
        <w:t xml:space="preserve">, máxime que esta última disposición, en materia penal, ha de integrarse con el art. 6° inc. 2° de la Ley 906 de 2004, conforme a la cual la ley procesal de efectos sustanciales permisiva o favorable, aun cuando sea posterior a la actuación, se preferirá de preferencia a la restrictiva o desfavorable. </w:t>
      </w:r>
    </w:p>
    <w:p w:rsidR="0069630E" w:rsidRPr="004836F6" w:rsidRDefault="0069630E" w:rsidP="00A86A29">
      <w:pPr>
        <w:spacing w:after="0" w:line="240" w:lineRule="auto"/>
        <w:ind w:left="709" w:right="476"/>
        <w:jc w:val="both"/>
        <w:rPr>
          <w:rFonts w:ascii="Bookman Old Style" w:hAnsi="Bookman Old Style"/>
          <w:sz w:val="24"/>
          <w:szCs w:val="24"/>
        </w:rPr>
      </w:pPr>
    </w:p>
    <w:p w:rsidR="0069630E" w:rsidRPr="004836F6" w:rsidRDefault="0069630E" w:rsidP="00A86A29">
      <w:pPr>
        <w:spacing w:after="0" w:line="240" w:lineRule="auto"/>
        <w:ind w:left="709" w:right="476"/>
        <w:jc w:val="both"/>
        <w:rPr>
          <w:rFonts w:ascii="Bookman Old Style" w:hAnsi="Bookman Old Style" w:cs="Tahoma"/>
          <w:sz w:val="24"/>
          <w:szCs w:val="24"/>
        </w:rPr>
      </w:pPr>
      <w:r w:rsidRPr="004836F6">
        <w:rPr>
          <w:rFonts w:ascii="Bookman Old Style" w:hAnsi="Bookman Old Style"/>
          <w:sz w:val="24"/>
          <w:szCs w:val="24"/>
        </w:rPr>
        <w:t xml:space="preserve">En segundo término, por cuanto, en estrecha conexión con el principio de favorabilidad, el art. 295 de la Ley 906 de 2004 consagra el principio de afirmación de la libertad, según el </w:t>
      </w:r>
      <w:r w:rsidRPr="004836F6">
        <w:rPr>
          <w:rFonts w:ascii="Bookman Old Style" w:hAnsi="Bookman Old Style"/>
          <w:sz w:val="24"/>
          <w:szCs w:val="24"/>
        </w:rPr>
        <w:lastRenderedPageBreak/>
        <w:t xml:space="preserve">cual las disposiciones que autorizan preventivamente la privación o restricción de la libertad sólo podrán ser </w:t>
      </w:r>
      <w:r w:rsidRPr="004836F6">
        <w:rPr>
          <w:rFonts w:ascii="Bookman Old Style" w:hAnsi="Bookman Old Style"/>
          <w:i/>
          <w:sz w:val="24"/>
          <w:szCs w:val="24"/>
        </w:rPr>
        <w:t>interpretadas restrictivamente</w:t>
      </w:r>
      <w:r w:rsidRPr="004836F6">
        <w:rPr>
          <w:rFonts w:ascii="Bookman Old Style" w:hAnsi="Bookman Old Style"/>
          <w:sz w:val="24"/>
          <w:szCs w:val="24"/>
        </w:rPr>
        <w:t xml:space="preserve"> y su aplicación debe ser necesaria, adecuada, proporcional y </w:t>
      </w:r>
      <w:r w:rsidRPr="004836F6">
        <w:rPr>
          <w:rFonts w:ascii="Bookman Old Style" w:hAnsi="Bookman Old Style"/>
          <w:i/>
          <w:sz w:val="24"/>
          <w:szCs w:val="24"/>
        </w:rPr>
        <w:t>razonable</w:t>
      </w:r>
      <w:r w:rsidRPr="004836F6">
        <w:rPr>
          <w:rFonts w:ascii="Bookman Old Style" w:hAnsi="Bookman Old Style"/>
          <w:sz w:val="24"/>
          <w:szCs w:val="24"/>
        </w:rPr>
        <w:t xml:space="preserve"> frente a los contenidos constitucionales. Precisamente, sobre éste último particular, cabe anotar que la limitación de la duración de la detención es materialización del derecho humano de toda persona </w:t>
      </w:r>
      <w:r w:rsidRPr="004836F6">
        <w:rPr>
          <w:rFonts w:ascii="Bookman Old Style" w:hAnsi="Bookman Old Style"/>
          <w:i/>
          <w:sz w:val="24"/>
          <w:szCs w:val="24"/>
        </w:rPr>
        <w:t>detenida</w:t>
      </w:r>
      <w:r w:rsidRPr="004836F6">
        <w:rPr>
          <w:rFonts w:ascii="Bookman Old Style" w:hAnsi="Bookman Old Style"/>
          <w:sz w:val="24"/>
          <w:szCs w:val="24"/>
        </w:rPr>
        <w:t xml:space="preserve"> a ser “</w:t>
      </w:r>
      <w:r w:rsidRPr="004836F6">
        <w:rPr>
          <w:rFonts w:ascii="Bookman Old Style" w:hAnsi="Bookman Old Style"/>
          <w:i/>
          <w:sz w:val="24"/>
          <w:szCs w:val="24"/>
        </w:rPr>
        <w:t xml:space="preserve">juzgada dentro de un plazo razonable </w:t>
      </w:r>
      <w:r w:rsidRPr="004836F6">
        <w:rPr>
          <w:rFonts w:ascii="Bookman Old Style" w:hAnsi="Bookman Old Style" w:cs="Tahoma"/>
          <w:i/>
          <w:sz w:val="24"/>
          <w:szCs w:val="24"/>
        </w:rPr>
        <w:t>o a ser puesta en libertad, sin perjuicio de que continúe el proceso</w:t>
      </w:r>
      <w:r w:rsidRPr="004836F6">
        <w:rPr>
          <w:rFonts w:ascii="Bookman Old Style" w:hAnsi="Bookman Old Style" w:cs="Tahoma"/>
          <w:sz w:val="24"/>
          <w:szCs w:val="24"/>
        </w:rPr>
        <w:t xml:space="preserve">” (art. 7-5 C.A.D.H., integrado a la Constitución por vía del bloque de constitucionalidad (93 inc. 1º). </w:t>
      </w:r>
    </w:p>
    <w:p w:rsidR="0069630E" w:rsidRPr="004836F6" w:rsidRDefault="0069630E" w:rsidP="00A86A29">
      <w:pPr>
        <w:pStyle w:val="NormalWeb"/>
        <w:shd w:val="clear" w:color="auto" w:fill="FFFFFF"/>
        <w:spacing w:before="0" w:beforeAutospacing="0" w:after="0" w:afterAutospacing="0"/>
        <w:ind w:left="709" w:right="476"/>
        <w:jc w:val="both"/>
        <w:rPr>
          <w:rFonts w:ascii="Bookman Old Style" w:hAnsi="Bookman Old Style" w:cs="Arial"/>
          <w:lang w:val="es-ES"/>
        </w:rPr>
      </w:pPr>
    </w:p>
    <w:p w:rsidR="0069630E" w:rsidRPr="004836F6" w:rsidRDefault="0069630E" w:rsidP="00A86A29">
      <w:pPr>
        <w:spacing w:after="0" w:line="240" w:lineRule="auto"/>
        <w:ind w:left="709" w:right="476"/>
        <w:jc w:val="both"/>
        <w:rPr>
          <w:rFonts w:ascii="Bookman Old Style" w:hAnsi="Bookman Old Style"/>
          <w:sz w:val="24"/>
          <w:szCs w:val="24"/>
        </w:rPr>
      </w:pPr>
      <w:r w:rsidRPr="004836F6">
        <w:rPr>
          <w:rFonts w:ascii="Bookman Old Style" w:hAnsi="Bookman Old Style"/>
          <w:sz w:val="24"/>
          <w:szCs w:val="24"/>
        </w:rPr>
        <w:t xml:space="preserve">En tercer orden, dado que una interpretación subjetiva, aplicando el método histórico, confirma que </w:t>
      </w:r>
      <w:r w:rsidRPr="004836F6">
        <w:rPr>
          <w:rFonts w:ascii="Bookman Old Style" w:hAnsi="Bookman Old Style"/>
          <w:sz w:val="24"/>
          <w:szCs w:val="24"/>
          <w:u w:val="single"/>
        </w:rPr>
        <w:t>el conteo del término límite se aplica desde la fecha de la detención, no a partir de la entrada en vigencia de la norma</w:t>
      </w:r>
      <w:r w:rsidRPr="004836F6">
        <w:rPr>
          <w:rFonts w:ascii="Bookman Old Style" w:hAnsi="Bookman Old Style"/>
          <w:sz w:val="24"/>
          <w:szCs w:val="24"/>
        </w:rPr>
        <w:t xml:space="preserve">, como quiera que la Ley 1786 de 2016 fue una medida legislativa de última hora, justificada para impedir una excarcelación masiva por aplicación del art. 1° de la Ley 1760 de 2015 (cfr. pie de página Nº 13 </w:t>
      </w:r>
      <w:r w:rsidRPr="004836F6">
        <w:rPr>
          <w:rFonts w:ascii="Bookman Old Style" w:hAnsi="Bookman Old Style"/>
          <w:i/>
          <w:sz w:val="24"/>
          <w:szCs w:val="24"/>
        </w:rPr>
        <w:t>supra</w:t>
      </w:r>
      <w:r w:rsidRPr="004836F6">
        <w:rPr>
          <w:rFonts w:ascii="Bookman Old Style" w:hAnsi="Bookman Old Style"/>
          <w:sz w:val="24"/>
          <w:szCs w:val="24"/>
        </w:rPr>
        <w:t>), que por primera vez incluyó el límite de un año (prorrogable a dos) a la duración de la detención preventiva. Si el término se empezara a contar a partir de la fecha de promulgación de la ley, no habría tenido el legislador que prorrogar la entrada en vigencia de la norma.</w:t>
      </w:r>
    </w:p>
    <w:p w:rsidR="00A86A29" w:rsidRPr="004836F6" w:rsidRDefault="00A86A29" w:rsidP="00A86A29">
      <w:pPr>
        <w:spacing w:after="0" w:line="336" w:lineRule="auto"/>
        <w:ind w:left="709" w:right="51"/>
        <w:jc w:val="both"/>
        <w:rPr>
          <w:rFonts w:ascii="Bookman Old Style" w:hAnsi="Bookman Old Style"/>
          <w:b/>
          <w:sz w:val="27"/>
          <w:szCs w:val="27"/>
        </w:rPr>
      </w:pPr>
    </w:p>
    <w:p w:rsidR="0071462D" w:rsidRPr="004836F6" w:rsidRDefault="00480453" w:rsidP="00A86A29">
      <w:pPr>
        <w:spacing w:after="0" w:line="336" w:lineRule="auto"/>
        <w:ind w:right="51"/>
        <w:jc w:val="both"/>
        <w:rPr>
          <w:rFonts w:ascii="Bookman Old Style" w:hAnsi="Bookman Old Style"/>
          <w:sz w:val="27"/>
          <w:szCs w:val="27"/>
        </w:rPr>
      </w:pPr>
      <w:r w:rsidRPr="004836F6">
        <w:rPr>
          <w:rFonts w:ascii="Bookman Old Style" w:hAnsi="Bookman Old Style"/>
          <w:b/>
          <w:sz w:val="27"/>
          <w:szCs w:val="27"/>
        </w:rPr>
        <w:tab/>
      </w:r>
      <w:r w:rsidR="00A86A29" w:rsidRPr="004836F6">
        <w:rPr>
          <w:rFonts w:ascii="Bookman Old Style" w:hAnsi="Bookman Old Style"/>
          <w:b/>
          <w:sz w:val="27"/>
          <w:szCs w:val="27"/>
        </w:rPr>
        <w:t>2.3.2</w:t>
      </w:r>
      <w:r w:rsidR="00774F98" w:rsidRPr="004836F6">
        <w:rPr>
          <w:rFonts w:ascii="Bookman Old Style" w:hAnsi="Bookman Old Style"/>
          <w:b/>
          <w:sz w:val="27"/>
          <w:szCs w:val="27"/>
        </w:rPr>
        <w:t xml:space="preserve"> </w:t>
      </w:r>
      <w:r w:rsidR="0071462D" w:rsidRPr="004836F6">
        <w:rPr>
          <w:rFonts w:ascii="Bookman Old Style" w:hAnsi="Bookman Old Style"/>
          <w:b/>
          <w:sz w:val="27"/>
          <w:szCs w:val="27"/>
        </w:rPr>
        <w:t>Distinción entre la sustitución de la detención preventiva por sobrepasar el término máximo de vigencia de ésta con las causales de libertad por vencimiento de términos, según la fase procesal</w:t>
      </w:r>
    </w:p>
    <w:p w:rsidR="00A86A29" w:rsidRPr="004836F6" w:rsidRDefault="00A86A29" w:rsidP="00A86A29">
      <w:pPr>
        <w:spacing w:after="0" w:line="336" w:lineRule="auto"/>
        <w:ind w:left="709"/>
        <w:jc w:val="both"/>
        <w:rPr>
          <w:rFonts w:ascii="Bookman Old Style" w:hAnsi="Bookman Old Style"/>
          <w:sz w:val="27"/>
          <w:szCs w:val="27"/>
        </w:rPr>
      </w:pPr>
    </w:p>
    <w:p w:rsidR="0071462D" w:rsidRPr="004836F6" w:rsidRDefault="00A86A29" w:rsidP="00A86A29">
      <w:pPr>
        <w:spacing w:after="0" w:line="240" w:lineRule="auto"/>
        <w:ind w:left="709" w:right="476"/>
        <w:jc w:val="both"/>
        <w:rPr>
          <w:rFonts w:ascii="Bookman Old Style" w:hAnsi="Bookman Old Style"/>
          <w:sz w:val="24"/>
          <w:szCs w:val="24"/>
        </w:rPr>
      </w:pPr>
      <w:r w:rsidRPr="004836F6">
        <w:rPr>
          <w:rFonts w:ascii="Bookman Old Style" w:hAnsi="Bookman Old Style"/>
          <w:sz w:val="24"/>
          <w:szCs w:val="24"/>
        </w:rPr>
        <w:t>[</w:t>
      </w:r>
      <w:r w:rsidR="00C75D15" w:rsidRPr="004836F6">
        <w:rPr>
          <w:rFonts w:ascii="Bookman Old Style" w:hAnsi="Bookman Old Style"/>
          <w:sz w:val="24"/>
          <w:szCs w:val="24"/>
        </w:rPr>
        <w:t>…</w:t>
      </w:r>
      <w:r w:rsidRPr="004836F6">
        <w:rPr>
          <w:rFonts w:ascii="Bookman Old Style" w:hAnsi="Bookman Old Style"/>
          <w:sz w:val="24"/>
          <w:szCs w:val="24"/>
        </w:rPr>
        <w:t>]</w:t>
      </w:r>
      <w:r w:rsidR="00C75D15" w:rsidRPr="004836F6">
        <w:rPr>
          <w:rFonts w:ascii="Bookman Old Style" w:hAnsi="Bookman Old Style"/>
          <w:sz w:val="24"/>
          <w:szCs w:val="24"/>
        </w:rPr>
        <w:t xml:space="preserve"> </w:t>
      </w:r>
      <w:r w:rsidR="0071462D" w:rsidRPr="004836F6">
        <w:rPr>
          <w:rFonts w:ascii="Bookman Old Style" w:hAnsi="Bookman Old Style"/>
          <w:sz w:val="24"/>
          <w:szCs w:val="24"/>
        </w:rPr>
        <w:t xml:space="preserve">el vencimiento del plazo razonable -genérico- para investigar y juzgar al procesado privado de la libertad, previsto en el art. 1º de la Ley 1786 de 2016, trae una consecuencia jurídica </w:t>
      </w:r>
      <w:r w:rsidR="0071462D" w:rsidRPr="004836F6">
        <w:rPr>
          <w:rFonts w:ascii="Bookman Old Style" w:hAnsi="Bookman Old Style"/>
          <w:i/>
          <w:sz w:val="24"/>
          <w:szCs w:val="24"/>
        </w:rPr>
        <w:t xml:space="preserve">diversa </w:t>
      </w:r>
      <w:r w:rsidR="0071462D" w:rsidRPr="004836F6">
        <w:rPr>
          <w:rFonts w:ascii="Bookman Old Style" w:hAnsi="Bookman Old Style"/>
          <w:sz w:val="24"/>
          <w:szCs w:val="24"/>
        </w:rPr>
        <w:t xml:space="preserve">al restablecimiento inmediato de la libertad por vencimiento de los términos -específicos- previstos en el art. 317 de la Ley 906 de 2004, aplicables según el cumplimiento de etapas procesales (imputación, presentación del escrito de acusación, instalación del juicio y emisión del sentido del fallo). </w:t>
      </w:r>
    </w:p>
    <w:p w:rsidR="0071462D" w:rsidRPr="004836F6" w:rsidRDefault="0071462D" w:rsidP="00A86A29">
      <w:pPr>
        <w:spacing w:after="0" w:line="240" w:lineRule="auto"/>
        <w:ind w:left="709" w:right="476"/>
        <w:jc w:val="both"/>
        <w:rPr>
          <w:rFonts w:ascii="Bookman Old Style" w:hAnsi="Bookman Old Style"/>
          <w:sz w:val="24"/>
          <w:szCs w:val="24"/>
        </w:rPr>
      </w:pPr>
    </w:p>
    <w:p w:rsidR="0071462D" w:rsidRPr="004836F6" w:rsidRDefault="0071462D" w:rsidP="00A86A29">
      <w:pPr>
        <w:spacing w:after="0" w:line="240" w:lineRule="auto"/>
        <w:ind w:left="709" w:right="476"/>
        <w:jc w:val="both"/>
        <w:rPr>
          <w:rFonts w:ascii="Bookman Old Style" w:hAnsi="Bookman Old Style"/>
          <w:sz w:val="24"/>
          <w:szCs w:val="24"/>
        </w:rPr>
      </w:pPr>
      <w:r w:rsidRPr="004836F6">
        <w:rPr>
          <w:rFonts w:ascii="Bookman Old Style" w:hAnsi="Bookman Old Style"/>
          <w:sz w:val="24"/>
          <w:szCs w:val="24"/>
        </w:rPr>
        <w:t xml:space="preserve">A diferencia de estas últimas causales de libertad por vencimiento de términos, el parágrafo del art. 307 </w:t>
      </w:r>
      <w:r w:rsidRPr="004836F6">
        <w:rPr>
          <w:rFonts w:ascii="Bookman Old Style" w:hAnsi="Bookman Old Style"/>
          <w:i/>
          <w:sz w:val="24"/>
          <w:szCs w:val="24"/>
        </w:rPr>
        <w:t xml:space="preserve">ídem, </w:t>
      </w:r>
      <w:r w:rsidRPr="004836F6">
        <w:rPr>
          <w:rFonts w:ascii="Bookman Old Style" w:hAnsi="Bookman Old Style"/>
          <w:sz w:val="24"/>
          <w:szCs w:val="24"/>
        </w:rPr>
        <w:t xml:space="preserve">adicionado por el art. 1º de la Ley 1786 de 2016, establece, por una parte, que </w:t>
      </w:r>
      <w:r w:rsidRPr="004836F6">
        <w:rPr>
          <w:rFonts w:ascii="Bookman Old Style" w:hAnsi="Bookman Old Style"/>
          <w:sz w:val="24"/>
          <w:szCs w:val="24"/>
          <w:u w:val="single"/>
        </w:rPr>
        <w:t xml:space="preserve">al margen de la etapa en que se encuentre el proceso, </w:t>
      </w:r>
      <w:r w:rsidRPr="004836F6">
        <w:rPr>
          <w:rFonts w:ascii="Bookman Old Style" w:hAnsi="Bookman Old Style"/>
          <w:i/>
          <w:sz w:val="24"/>
          <w:szCs w:val="24"/>
          <w:u w:val="single"/>
        </w:rPr>
        <w:t>en ningún caso</w:t>
      </w:r>
      <w:r w:rsidRPr="004836F6">
        <w:rPr>
          <w:rFonts w:ascii="Bookman Old Style" w:hAnsi="Bookman Old Style"/>
          <w:sz w:val="24"/>
          <w:szCs w:val="24"/>
          <w:u w:val="single"/>
        </w:rPr>
        <w:t xml:space="preserve"> una medida de aseguramiento privativa de la libertad puede durar más de un año -</w:t>
      </w:r>
      <w:r w:rsidRPr="004836F6">
        <w:rPr>
          <w:rFonts w:ascii="Bookman Old Style" w:hAnsi="Bookman Old Style"/>
          <w:sz w:val="24"/>
          <w:szCs w:val="24"/>
          <w:u w:val="single"/>
        </w:rPr>
        <w:lastRenderedPageBreak/>
        <w:t>prorrogable por otro más en determinadas circunstancias-</w:t>
      </w:r>
      <w:r w:rsidRPr="004836F6">
        <w:rPr>
          <w:rFonts w:ascii="Bookman Old Style" w:hAnsi="Bookman Old Style"/>
          <w:sz w:val="24"/>
          <w:szCs w:val="24"/>
        </w:rPr>
        <w:t xml:space="preserve">; por otra, que si se supera ese plazo la detención preventiva pierde vigencia y ha de ser </w:t>
      </w:r>
      <w:r w:rsidRPr="004836F6">
        <w:rPr>
          <w:rFonts w:ascii="Bookman Old Style" w:hAnsi="Bookman Old Style"/>
          <w:i/>
          <w:sz w:val="24"/>
          <w:szCs w:val="24"/>
        </w:rPr>
        <w:t>sustituida</w:t>
      </w:r>
      <w:r w:rsidRPr="004836F6">
        <w:rPr>
          <w:rFonts w:ascii="Bookman Old Style" w:hAnsi="Bookman Old Style"/>
          <w:sz w:val="24"/>
          <w:szCs w:val="24"/>
        </w:rPr>
        <w:t xml:space="preserve"> por una medida de aseguramiento no privativa de la libertad (art. 307 </w:t>
      </w:r>
      <w:proofErr w:type="spellStart"/>
      <w:r w:rsidRPr="004836F6">
        <w:rPr>
          <w:rFonts w:ascii="Bookman Old Style" w:hAnsi="Bookman Old Style"/>
          <w:sz w:val="24"/>
          <w:szCs w:val="24"/>
        </w:rPr>
        <w:t>l</w:t>
      </w:r>
      <w:r w:rsidR="00A86A29" w:rsidRPr="004836F6">
        <w:rPr>
          <w:rFonts w:ascii="Bookman Old Style" w:hAnsi="Bookman Old Style"/>
          <w:sz w:val="24"/>
          <w:szCs w:val="24"/>
        </w:rPr>
        <w:t>it.</w:t>
      </w:r>
      <w:proofErr w:type="spellEnd"/>
      <w:r w:rsidR="00A86A29" w:rsidRPr="004836F6">
        <w:rPr>
          <w:rFonts w:ascii="Bookman Old Style" w:hAnsi="Bookman Old Style"/>
          <w:sz w:val="24"/>
          <w:szCs w:val="24"/>
        </w:rPr>
        <w:t xml:space="preserve"> b de la Ley 906 de 2004).  </w:t>
      </w:r>
    </w:p>
    <w:p w:rsidR="00A86A29" w:rsidRPr="004836F6" w:rsidRDefault="00A86A29" w:rsidP="00A86A29">
      <w:pPr>
        <w:spacing w:after="0" w:line="240" w:lineRule="auto"/>
        <w:ind w:left="709" w:right="476"/>
        <w:jc w:val="both"/>
        <w:rPr>
          <w:rFonts w:ascii="Bookman Old Style" w:hAnsi="Bookman Old Style"/>
          <w:sz w:val="24"/>
          <w:szCs w:val="24"/>
        </w:rPr>
      </w:pPr>
    </w:p>
    <w:p w:rsidR="00A86A29" w:rsidRPr="004836F6" w:rsidRDefault="00A86A29" w:rsidP="00A86A29">
      <w:pPr>
        <w:spacing w:after="0" w:line="240" w:lineRule="auto"/>
        <w:ind w:left="709" w:right="476"/>
        <w:jc w:val="both"/>
        <w:rPr>
          <w:rFonts w:ascii="Bookman Old Style" w:hAnsi="Bookman Old Style"/>
          <w:sz w:val="24"/>
          <w:szCs w:val="24"/>
        </w:rPr>
      </w:pPr>
    </w:p>
    <w:p w:rsidR="00C75D15" w:rsidRPr="004836F6" w:rsidRDefault="00480453" w:rsidP="00A86A29">
      <w:pPr>
        <w:spacing w:after="0" w:line="336" w:lineRule="auto"/>
        <w:ind w:right="51"/>
        <w:jc w:val="both"/>
        <w:rPr>
          <w:rFonts w:ascii="Bookman Old Style" w:hAnsi="Bookman Old Style"/>
          <w:b/>
          <w:sz w:val="27"/>
          <w:szCs w:val="27"/>
          <w:lang w:val="es-MX"/>
        </w:rPr>
      </w:pPr>
      <w:r w:rsidRPr="004836F6">
        <w:rPr>
          <w:rFonts w:ascii="Bookman Old Style" w:hAnsi="Bookman Old Style"/>
          <w:b/>
          <w:sz w:val="27"/>
          <w:szCs w:val="27"/>
        </w:rPr>
        <w:tab/>
      </w:r>
      <w:r w:rsidR="00A86A29" w:rsidRPr="004836F6">
        <w:rPr>
          <w:rFonts w:ascii="Bookman Old Style" w:hAnsi="Bookman Old Style"/>
          <w:b/>
          <w:sz w:val="27"/>
          <w:szCs w:val="27"/>
        </w:rPr>
        <w:t>2.3.3</w:t>
      </w:r>
      <w:r w:rsidR="007033BD" w:rsidRPr="004836F6">
        <w:rPr>
          <w:rFonts w:ascii="Bookman Old Style" w:hAnsi="Bookman Old Style"/>
          <w:b/>
          <w:sz w:val="27"/>
          <w:szCs w:val="27"/>
        </w:rPr>
        <w:t xml:space="preserve"> </w:t>
      </w:r>
      <w:r w:rsidR="00C75D15" w:rsidRPr="004836F6">
        <w:rPr>
          <w:rFonts w:ascii="Bookman Old Style" w:hAnsi="Bookman Old Style"/>
          <w:b/>
          <w:sz w:val="27"/>
          <w:szCs w:val="27"/>
          <w:lang w:val="es-MX"/>
        </w:rPr>
        <w:t xml:space="preserve">Aplicabilidad </w:t>
      </w:r>
      <w:r w:rsidR="00C75D15" w:rsidRPr="004836F6">
        <w:rPr>
          <w:rFonts w:ascii="Bookman Old Style" w:hAnsi="Bookman Old Style"/>
          <w:b/>
          <w:i/>
          <w:sz w:val="27"/>
          <w:szCs w:val="27"/>
          <w:lang w:val="es-MX"/>
        </w:rPr>
        <w:t>in abstracto</w:t>
      </w:r>
      <w:r w:rsidR="00C75D15" w:rsidRPr="004836F6">
        <w:rPr>
          <w:rFonts w:ascii="Bookman Old Style" w:hAnsi="Bookman Old Style"/>
          <w:b/>
          <w:sz w:val="27"/>
          <w:szCs w:val="27"/>
          <w:lang w:val="es-MX"/>
        </w:rPr>
        <w:t xml:space="preserve"> del término máximo de vigencia de la detención a investigaciones y juzgamientos tramitados por la Ley 600 de 2000</w:t>
      </w:r>
    </w:p>
    <w:p w:rsidR="00C75D15" w:rsidRPr="004836F6" w:rsidRDefault="00C75D15" w:rsidP="00CB7766">
      <w:pPr>
        <w:spacing w:after="0" w:line="336" w:lineRule="auto"/>
        <w:ind w:left="709"/>
        <w:jc w:val="both"/>
        <w:rPr>
          <w:rFonts w:ascii="Bookman Old Style" w:hAnsi="Bookman Old Style"/>
          <w:b/>
          <w:sz w:val="27"/>
          <w:szCs w:val="27"/>
          <w:lang w:val="es-MX"/>
        </w:rPr>
      </w:pPr>
    </w:p>
    <w:p w:rsidR="00C75D15" w:rsidRPr="004836F6" w:rsidRDefault="00C75D15" w:rsidP="007033BD">
      <w:pPr>
        <w:spacing w:after="0" w:line="240" w:lineRule="auto"/>
        <w:ind w:left="709" w:right="476"/>
        <w:jc w:val="both"/>
        <w:rPr>
          <w:rFonts w:ascii="Bookman Old Style" w:hAnsi="Bookman Old Style"/>
          <w:sz w:val="24"/>
          <w:szCs w:val="24"/>
          <w:lang w:val="es-MX"/>
        </w:rPr>
      </w:pPr>
      <w:r w:rsidRPr="004836F6">
        <w:rPr>
          <w:rFonts w:ascii="Bookman Old Style" w:hAnsi="Bookman Old Style"/>
          <w:sz w:val="24"/>
          <w:szCs w:val="24"/>
          <w:lang w:val="es-MX"/>
        </w:rPr>
        <w:t>Es criterio consolidado de la Sala que, como concreción del principio de favorabilidad, es dable aplicar retroactivamente normas procesales de efectos sustanciales contenidas en la Ley 906 de 2004 a procesos adelantados por la Ley 600 de 2000</w:t>
      </w:r>
      <w:r w:rsidRPr="004836F6">
        <w:rPr>
          <w:rStyle w:val="Refdenotaalpie"/>
          <w:rFonts w:ascii="Bookman Old Style" w:hAnsi="Bookman Old Style"/>
          <w:sz w:val="24"/>
          <w:szCs w:val="24"/>
        </w:rPr>
        <w:footnoteReference w:id="10"/>
      </w:r>
      <w:r w:rsidRPr="004836F6">
        <w:rPr>
          <w:rFonts w:ascii="Bookman Old Style" w:hAnsi="Bookman Old Style"/>
          <w:sz w:val="24"/>
          <w:szCs w:val="24"/>
          <w:lang w:val="es-MX"/>
        </w:rPr>
        <w:t>. Ello, condicionado a que, además de la sucesión de leyes en el tiempo y el tránsito o coexistencia de las mismas, se cumplan los siguientes criterios: i) que las figuras jurídicas enfrentadas tengan regulación en las dos legislaciones; ii) que respecto de aquellas se prediquen similares presupuestos fáctico-procesales y iii) que con la aplicación beneficiosa de alguna de ellas no se resquebraje el sistema procesal dentro del cual se le da cabida al instituto favorable.</w:t>
      </w:r>
    </w:p>
    <w:p w:rsidR="00C75D15" w:rsidRPr="004836F6" w:rsidRDefault="00C75D15" w:rsidP="007033BD">
      <w:pPr>
        <w:spacing w:after="0" w:line="240" w:lineRule="auto"/>
        <w:ind w:left="709" w:right="476"/>
        <w:jc w:val="both"/>
        <w:rPr>
          <w:rFonts w:ascii="Bookman Old Style" w:hAnsi="Bookman Old Style"/>
          <w:sz w:val="24"/>
          <w:szCs w:val="24"/>
          <w:lang w:val="es-MX"/>
        </w:rPr>
      </w:pPr>
    </w:p>
    <w:p w:rsidR="00C75D15" w:rsidRPr="004836F6" w:rsidRDefault="00C75D15" w:rsidP="007033BD">
      <w:pPr>
        <w:spacing w:after="0" w:line="240" w:lineRule="auto"/>
        <w:ind w:left="709" w:right="476"/>
        <w:jc w:val="both"/>
        <w:rPr>
          <w:rFonts w:ascii="Bookman Old Style" w:hAnsi="Bookman Old Style"/>
          <w:sz w:val="24"/>
          <w:szCs w:val="24"/>
          <w:lang w:val="es-MX"/>
        </w:rPr>
      </w:pPr>
      <w:r w:rsidRPr="004836F6">
        <w:rPr>
          <w:rFonts w:ascii="Bookman Old Style" w:hAnsi="Bookman Old Style"/>
          <w:sz w:val="24"/>
          <w:szCs w:val="24"/>
          <w:lang w:val="es-MX"/>
        </w:rPr>
        <w:t xml:space="preserve">Pues bien, no hay duda de que la norma procesal cuya aplicación retroactiva se reclama, en primer lugar, produce efectos sustanciales determinados a partir de su naturaleza. Ésta corresponde a la concreción de una garantía fundamental que desarrolla tanto los contornos específicos del debido proceso -en su componente del derecho a ser juzgado sin dilaciones injustificadas- como los contenidos del principio constitucional de proporcionalidad (prohibición de exceso), en relación con la limitación de las injerencias en la libertad personal a través de medidas cautelares en el proceso penal. Y la disposición normativa concernida, desde luego, es favorable al procesado, en la medida en que la fijación de un término máximo de vigencia de la detención preventiva no existe en la Ley 600 de 2000. </w:t>
      </w:r>
    </w:p>
    <w:p w:rsidR="00C75D15" w:rsidRPr="004836F6" w:rsidRDefault="00C75D15" w:rsidP="007033BD">
      <w:pPr>
        <w:spacing w:after="0" w:line="240" w:lineRule="auto"/>
        <w:ind w:left="709" w:right="476"/>
        <w:jc w:val="both"/>
        <w:rPr>
          <w:rFonts w:ascii="Bookman Old Style" w:hAnsi="Bookman Old Style"/>
          <w:sz w:val="24"/>
          <w:szCs w:val="24"/>
          <w:lang w:val="es-MX"/>
        </w:rPr>
      </w:pPr>
    </w:p>
    <w:p w:rsidR="00C75D15" w:rsidRPr="004836F6" w:rsidRDefault="00C75D15" w:rsidP="007033BD">
      <w:pPr>
        <w:spacing w:after="0" w:line="240" w:lineRule="auto"/>
        <w:ind w:left="709" w:right="476"/>
        <w:jc w:val="both"/>
        <w:rPr>
          <w:rFonts w:ascii="Bookman Old Style" w:hAnsi="Bookman Old Style"/>
          <w:sz w:val="24"/>
          <w:szCs w:val="24"/>
          <w:lang w:val="es-MX"/>
        </w:rPr>
      </w:pPr>
      <w:r w:rsidRPr="004836F6">
        <w:rPr>
          <w:rFonts w:ascii="Bookman Old Style" w:hAnsi="Bookman Old Style"/>
          <w:sz w:val="24"/>
          <w:szCs w:val="24"/>
          <w:lang w:val="es-MX"/>
        </w:rPr>
        <w:t xml:space="preserve">En segundo orden, salta a la vista que la detención preventiva, en tanto medida cautelar accesoria </w:t>
      </w:r>
      <w:r w:rsidRPr="004836F6">
        <w:rPr>
          <w:rFonts w:ascii="Bookman Old Style" w:hAnsi="Bookman Old Style"/>
          <w:i/>
          <w:sz w:val="24"/>
          <w:szCs w:val="24"/>
          <w:lang w:val="es-MX"/>
        </w:rPr>
        <w:t>al proceso penal</w:t>
      </w:r>
      <w:r w:rsidRPr="004836F6">
        <w:rPr>
          <w:rFonts w:ascii="Bookman Old Style" w:hAnsi="Bookman Old Style"/>
          <w:sz w:val="24"/>
          <w:szCs w:val="24"/>
          <w:lang w:val="es-MX"/>
        </w:rPr>
        <w:t xml:space="preserve">, encuentra regulación en las dos codificaciones procesales que aquí se contrastan (arts. 355 y ss. de la Ley 600 de 2000 y arts. 306 y ss. de la Ley 906 de 2004). En las </w:t>
      </w:r>
      <w:r w:rsidRPr="004836F6">
        <w:rPr>
          <w:rFonts w:ascii="Bookman Old Style" w:hAnsi="Bookman Old Style"/>
          <w:sz w:val="24"/>
          <w:szCs w:val="24"/>
          <w:lang w:val="es-MX"/>
        </w:rPr>
        <w:lastRenderedPageBreak/>
        <w:t xml:space="preserve">dos legislaciones están determinados, </w:t>
      </w:r>
      <w:r w:rsidRPr="004836F6">
        <w:rPr>
          <w:rFonts w:ascii="Bookman Old Style" w:hAnsi="Bookman Old Style"/>
          <w:i/>
          <w:sz w:val="24"/>
          <w:szCs w:val="24"/>
          <w:lang w:val="es-MX"/>
        </w:rPr>
        <w:t>entre otros aspectos</w:t>
      </w:r>
      <w:r w:rsidRPr="004836F6">
        <w:rPr>
          <w:rFonts w:ascii="Bookman Old Style" w:hAnsi="Bookman Old Style"/>
          <w:sz w:val="24"/>
          <w:szCs w:val="24"/>
          <w:lang w:val="es-MX"/>
        </w:rPr>
        <w:t xml:space="preserve">, las finalidades asignadas a las medidas de aseguramiento, los requisitos sustanciales y formales para su imposición, los motivos de suspensión o sustitución y las causales de revocatoria. La detención preventiva no es, entonces, propia de ningún esquema procesal ni, mucho menos, propia de alguno de los mencionados códigos de procedimiento penal. </w:t>
      </w:r>
    </w:p>
    <w:p w:rsidR="00C75D15" w:rsidRPr="004836F6" w:rsidRDefault="00C75D15" w:rsidP="007033BD">
      <w:pPr>
        <w:spacing w:after="0" w:line="240" w:lineRule="auto"/>
        <w:ind w:left="709" w:right="476"/>
        <w:jc w:val="both"/>
        <w:rPr>
          <w:rFonts w:ascii="Bookman Old Style" w:hAnsi="Bookman Old Style"/>
          <w:sz w:val="24"/>
          <w:szCs w:val="24"/>
          <w:lang w:val="es-MX"/>
        </w:rPr>
      </w:pPr>
    </w:p>
    <w:p w:rsidR="00C75D15" w:rsidRPr="004836F6" w:rsidRDefault="00C75D15" w:rsidP="007033BD">
      <w:pPr>
        <w:spacing w:after="0" w:line="240" w:lineRule="auto"/>
        <w:ind w:left="709" w:right="476"/>
        <w:jc w:val="both"/>
        <w:rPr>
          <w:rFonts w:ascii="Bookman Old Style" w:eastAsia="WarnockPro-Regular" w:hAnsi="Bookman Old Style" w:cs="WarnockPro-Regular"/>
          <w:sz w:val="24"/>
          <w:szCs w:val="24"/>
        </w:rPr>
      </w:pPr>
      <w:r w:rsidRPr="004836F6">
        <w:rPr>
          <w:rFonts w:ascii="Bookman Old Style" w:hAnsi="Bookman Old Style"/>
          <w:sz w:val="24"/>
          <w:szCs w:val="24"/>
          <w:lang w:val="es-MX"/>
        </w:rPr>
        <w:t xml:space="preserve">En tercer término, los supuestos fáctico-jurídicos que dan lugar a la imposición de las medidas de aseguramiento son similares. Contrastados los arts. 355 y 366 de la Ley 600 de 2000 con los arts. 296 y 308 de la Ley 906 de 2004, puede afirmarse que </w:t>
      </w:r>
      <w:r w:rsidRPr="004836F6">
        <w:rPr>
          <w:rFonts w:ascii="Bookman Old Style" w:eastAsia="WarnockPro-Regular" w:hAnsi="Bookman Old Style" w:cs="WarnockPro-Regular"/>
          <w:sz w:val="24"/>
          <w:szCs w:val="24"/>
        </w:rPr>
        <w:t xml:space="preserve">la aplicación de la detención preventiva está condicionada a la verificación -concurrente, no alternativa- de los mismos presupuestos </w:t>
      </w:r>
      <w:r w:rsidRPr="004836F6">
        <w:rPr>
          <w:rFonts w:ascii="Bookman Old Style" w:eastAsia="WarnockPro-Regular" w:hAnsi="Bookman Old Style" w:cs="WarnockPro-Regular"/>
          <w:i/>
          <w:sz w:val="24"/>
          <w:szCs w:val="24"/>
        </w:rPr>
        <w:t>materiales</w:t>
      </w:r>
      <w:r w:rsidRPr="004836F6">
        <w:rPr>
          <w:rFonts w:ascii="Bookman Old Style" w:eastAsia="WarnockPro-Regular" w:hAnsi="Bookman Old Style" w:cs="WarnockPro-Regular"/>
          <w:sz w:val="24"/>
          <w:szCs w:val="24"/>
        </w:rPr>
        <w:t xml:space="preserve">, a saber: </w:t>
      </w:r>
    </w:p>
    <w:p w:rsidR="00C75D15" w:rsidRPr="004836F6" w:rsidRDefault="00C75D15" w:rsidP="007033BD">
      <w:pPr>
        <w:spacing w:after="0" w:line="240" w:lineRule="auto"/>
        <w:ind w:left="709" w:right="476"/>
        <w:jc w:val="both"/>
        <w:rPr>
          <w:rFonts w:ascii="Bookman Old Style" w:eastAsia="WarnockPro-Regular" w:hAnsi="Bookman Old Style" w:cs="WarnockPro-Regular"/>
          <w:sz w:val="24"/>
          <w:szCs w:val="24"/>
        </w:rPr>
      </w:pPr>
    </w:p>
    <w:p w:rsidR="00C75D15" w:rsidRPr="004836F6" w:rsidRDefault="00C75D15" w:rsidP="007033BD">
      <w:pPr>
        <w:spacing w:after="0" w:line="240" w:lineRule="auto"/>
        <w:ind w:left="709" w:right="476"/>
        <w:jc w:val="both"/>
        <w:rPr>
          <w:rFonts w:ascii="Bookman Old Style" w:eastAsia="WarnockPro-Regular" w:hAnsi="Bookman Old Style" w:cs="WarnockPro-Regular"/>
          <w:sz w:val="24"/>
          <w:szCs w:val="24"/>
        </w:rPr>
      </w:pPr>
      <w:r w:rsidRPr="004836F6">
        <w:rPr>
          <w:rFonts w:ascii="Bookman Old Style" w:eastAsia="WarnockPro-Regular" w:hAnsi="Bookman Old Style" w:cs="WarnockPro-Regular"/>
          <w:sz w:val="24"/>
          <w:szCs w:val="24"/>
        </w:rPr>
        <w:t>Por una parte, el denominado estado de sospecha fundada, constituido por la acreditación de la materialidad del delito y por la probable atribución de responsabilidad al imputado; por otra, el concerniente a la urgencia de conjurar los riesgos que la libertad del imputado representan para la comunidad o las víctimas y para la indemnidad del proceso penal (riesgos de fuga o de obstrucción probatoria)</w:t>
      </w:r>
      <w:r w:rsidRPr="004836F6">
        <w:rPr>
          <w:rStyle w:val="Refdenotaalpie"/>
          <w:rFonts w:ascii="Bookman Old Style" w:eastAsia="WarnockPro-Regular" w:hAnsi="Bookman Old Style" w:cs="WarnockPro-Regular"/>
          <w:sz w:val="24"/>
          <w:szCs w:val="24"/>
        </w:rPr>
        <w:footnoteReference w:id="11"/>
      </w:r>
      <w:r w:rsidRPr="004836F6">
        <w:rPr>
          <w:rFonts w:ascii="Bookman Old Style" w:eastAsia="WarnockPro-Regular" w:hAnsi="Bookman Old Style" w:cs="WarnockPro-Regular"/>
          <w:sz w:val="24"/>
          <w:szCs w:val="24"/>
        </w:rPr>
        <w:t xml:space="preserve">. </w:t>
      </w:r>
    </w:p>
    <w:p w:rsidR="00C75D15" w:rsidRPr="004836F6" w:rsidRDefault="00C75D15" w:rsidP="007033BD">
      <w:pPr>
        <w:spacing w:after="0" w:line="240" w:lineRule="auto"/>
        <w:ind w:left="709" w:right="476"/>
        <w:jc w:val="both"/>
        <w:rPr>
          <w:rFonts w:ascii="Bookman Old Style" w:eastAsia="WarnockPro-Regular" w:hAnsi="Bookman Old Style" w:cs="WarnockPro-Regular"/>
          <w:sz w:val="24"/>
          <w:szCs w:val="24"/>
        </w:rPr>
      </w:pPr>
    </w:p>
    <w:p w:rsidR="00C75D15" w:rsidRPr="004836F6" w:rsidRDefault="00C75D15" w:rsidP="007033BD">
      <w:pPr>
        <w:spacing w:after="0" w:line="240" w:lineRule="auto"/>
        <w:ind w:left="709" w:right="476"/>
        <w:jc w:val="both"/>
        <w:rPr>
          <w:rFonts w:ascii="Bookman Old Style" w:eastAsia="WarnockPro-Regular" w:hAnsi="Bookman Old Style" w:cs="WarnockPro-Regular"/>
          <w:sz w:val="24"/>
          <w:szCs w:val="24"/>
        </w:rPr>
      </w:pPr>
      <w:r w:rsidRPr="004836F6">
        <w:rPr>
          <w:rFonts w:ascii="Bookman Old Style" w:eastAsia="WarnockPro-Regular" w:hAnsi="Bookman Old Style" w:cs="WarnockPro-Regular"/>
          <w:sz w:val="24"/>
          <w:szCs w:val="24"/>
        </w:rPr>
        <w:t xml:space="preserve">Finalmente, para la Sala es claro que con la aplicación beneficiosa del parágrafo 1º del art. 307 de la Ley 906 de 2004, modificado por el art. 1º de la Ley 1786 de 2016, a procesos penales tramitados por la Ley 600 de 2000 no se afecta la estructura del esquema procesal diseñado en este último Código de Procedimiento Penal. </w:t>
      </w:r>
    </w:p>
    <w:p w:rsidR="00C75D15" w:rsidRPr="004836F6" w:rsidRDefault="00C75D15" w:rsidP="007033BD">
      <w:pPr>
        <w:spacing w:after="0" w:line="240" w:lineRule="auto"/>
        <w:ind w:left="709" w:right="476"/>
        <w:jc w:val="both"/>
        <w:rPr>
          <w:rFonts w:ascii="Bookman Old Style" w:eastAsia="WarnockPro-Regular" w:hAnsi="Bookman Old Style" w:cs="WarnockPro-Regular"/>
          <w:sz w:val="24"/>
          <w:szCs w:val="24"/>
        </w:rPr>
      </w:pPr>
    </w:p>
    <w:p w:rsidR="00C75D15" w:rsidRPr="004836F6" w:rsidRDefault="00C75D15" w:rsidP="007033BD">
      <w:pPr>
        <w:spacing w:after="0" w:line="240" w:lineRule="auto"/>
        <w:ind w:left="709" w:right="476"/>
        <w:jc w:val="both"/>
        <w:rPr>
          <w:rFonts w:ascii="Bookman Old Style" w:eastAsia="WarnockPro-Regular" w:hAnsi="Bookman Old Style" w:cs="WarnockPro-Regular"/>
          <w:sz w:val="24"/>
          <w:szCs w:val="24"/>
        </w:rPr>
      </w:pPr>
      <w:r w:rsidRPr="004836F6">
        <w:rPr>
          <w:rFonts w:ascii="Bookman Old Style" w:eastAsia="WarnockPro-Regular" w:hAnsi="Bookman Old Style" w:cs="WarnockPro-Regular"/>
          <w:sz w:val="24"/>
          <w:szCs w:val="24"/>
        </w:rPr>
        <w:t xml:space="preserve">En efecto, al tratarse de una medida cautelar, </w:t>
      </w:r>
      <w:r w:rsidRPr="004836F6">
        <w:rPr>
          <w:rFonts w:ascii="Bookman Old Style" w:eastAsia="WarnockPro-Regular" w:hAnsi="Bookman Old Style" w:cs="WarnockPro-Regular"/>
          <w:i/>
          <w:sz w:val="24"/>
          <w:szCs w:val="24"/>
        </w:rPr>
        <w:t>accesoria</w:t>
      </w:r>
      <w:r w:rsidRPr="004836F6">
        <w:rPr>
          <w:rFonts w:ascii="Bookman Old Style" w:eastAsia="WarnockPro-Regular" w:hAnsi="Bookman Old Style" w:cs="WarnockPro-Regular"/>
          <w:sz w:val="24"/>
          <w:szCs w:val="24"/>
        </w:rPr>
        <w:t xml:space="preserve"> al proceso, la aplicación de la detención preventiva de ninguna manera tiene que ver con los rasgos </w:t>
      </w:r>
      <w:r w:rsidRPr="004836F6">
        <w:rPr>
          <w:rFonts w:ascii="Bookman Old Style" w:eastAsia="WarnockPro-Regular" w:hAnsi="Bookman Old Style" w:cs="WarnockPro-Regular"/>
          <w:i/>
          <w:sz w:val="24"/>
          <w:szCs w:val="24"/>
        </w:rPr>
        <w:t>estructurales</w:t>
      </w:r>
      <w:r w:rsidRPr="004836F6">
        <w:rPr>
          <w:rFonts w:ascii="Bookman Old Style" w:eastAsia="WarnockPro-Regular" w:hAnsi="Bookman Old Style" w:cs="WarnockPro-Regular"/>
          <w:sz w:val="24"/>
          <w:szCs w:val="24"/>
        </w:rPr>
        <w:t xml:space="preserve"> que caracterizan el curso de la investigación y el juzgamiento en uno u otro esquema procesal. En el mejor lenguaje procesalista, la medida de aseguramiento tiene una naturaleza </w:t>
      </w:r>
      <w:r w:rsidRPr="004836F6">
        <w:rPr>
          <w:rFonts w:ascii="Bookman Old Style" w:eastAsia="WarnockPro-Regular" w:hAnsi="Bookman Old Style" w:cs="WarnockPro-Regular"/>
          <w:i/>
          <w:sz w:val="24"/>
          <w:szCs w:val="24"/>
        </w:rPr>
        <w:t>incidental</w:t>
      </w:r>
      <w:r w:rsidRPr="004836F6">
        <w:rPr>
          <w:rFonts w:ascii="Bookman Old Style" w:eastAsia="WarnockPro-Regular" w:hAnsi="Bookman Old Style" w:cs="WarnockPro-Regular"/>
          <w:sz w:val="24"/>
          <w:szCs w:val="24"/>
        </w:rPr>
        <w:t xml:space="preserve"> que difiere del objeto mismo del proceso penal -la determinación de la responsabilidad penal de un individuo-. Es un apéndice, y por ello, su aplicación no está en capacidad de trastocar las bases fundamentales, características y diferenciadoras de un determinado modelo de enjuiciamiento penal. </w:t>
      </w:r>
    </w:p>
    <w:p w:rsidR="00480453" w:rsidRPr="004836F6" w:rsidRDefault="00480453" w:rsidP="007033BD">
      <w:pPr>
        <w:spacing w:after="0" w:line="240" w:lineRule="auto"/>
        <w:ind w:left="709" w:right="476"/>
        <w:jc w:val="both"/>
        <w:rPr>
          <w:rFonts w:ascii="Bookman Old Style" w:eastAsia="WarnockPro-Regular" w:hAnsi="Bookman Old Style" w:cs="WarnockPro-Regular"/>
          <w:sz w:val="24"/>
          <w:szCs w:val="24"/>
        </w:rPr>
      </w:pPr>
    </w:p>
    <w:p w:rsidR="00C75D15" w:rsidRPr="004836F6" w:rsidRDefault="00C75D15" w:rsidP="007033BD">
      <w:pPr>
        <w:spacing w:after="0" w:line="240" w:lineRule="auto"/>
        <w:ind w:left="709" w:right="476"/>
        <w:jc w:val="both"/>
        <w:rPr>
          <w:rFonts w:ascii="Bookman Old Style" w:eastAsia="WarnockPro-Regular" w:hAnsi="Bookman Old Style" w:cs="WarnockPro-Regular"/>
          <w:sz w:val="24"/>
          <w:szCs w:val="24"/>
        </w:rPr>
      </w:pPr>
      <w:r w:rsidRPr="004836F6">
        <w:rPr>
          <w:rFonts w:ascii="Bookman Old Style" w:eastAsia="WarnockPro-Regular" w:hAnsi="Bookman Old Style" w:cs="WarnockPro-Regular"/>
          <w:sz w:val="24"/>
          <w:szCs w:val="24"/>
        </w:rPr>
        <w:lastRenderedPageBreak/>
        <w:t xml:space="preserve">Desde una perspectiva constitucional (art. 250-1), las medidas de aseguramiento sirven al logro de los cometidos asignados al derecho penal, en tanto instrumento de protección -de última ratio- de bienes jurídicos, y persiguen, en concreto, el aseguramiento de la comparecencia al proceso, la conservación de la prueba y la protección de la comunidad. Estas finalidades han de conseguirse al margen de las formas propias y la tendencia asignada a la </w:t>
      </w:r>
      <w:r w:rsidRPr="004836F6">
        <w:rPr>
          <w:rFonts w:ascii="Bookman Old Style" w:eastAsia="WarnockPro-Regular" w:hAnsi="Bookman Old Style" w:cs="WarnockPro-Regular"/>
          <w:i/>
          <w:sz w:val="24"/>
          <w:szCs w:val="24"/>
        </w:rPr>
        <w:t>investigación o al juzgamiento</w:t>
      </w:r>
      <w:r w:rsidRPr="004836F6">
        <w:rPr>
          <w:rFonts w:ascii="Bookman Old Style" w:eastAsia="WarnockPro-Regular" w:hAnsi="Bookman Old Style" w:cs="WarnockPro-Regular"/>
          <w:sz w:val="24"/>
          <w:szCs w:val="24"/>
        </w:rPr>
        <w:t xml:space="preserve">. De ahí que la teleología asignada a la detención preventiva sea la misma en las Leyes 600 de 2000 (art. 355) y 906 de 2004 (art. 296). Lo que varía, entonces, es la regulación </w:t>
      </w:r>
      <w:r w:rsidRPr="004836F6">
        <w:rPr>
          <w:rFonts w:ascii="Bookman Old Style" w:eastAsia="WarnockPro-Regular" w:hAnsi="Bookman Old Style" w:cs="WarnockPro-Regular"/>
          <w:i/>
          <w:sz w:val="24"/>
          <w:szCs w:val="24"/>
        </w:rPr>
        <w:t>específica</w:t>
      </w:r>
      <w:r w:rsidRPr="004836F6">
        <w:rPr>
          <w:rFonts w:ascii="Bookman Old Style" w:eastAsia="WarnockPro-Regular" w:hAnsi="Bookman Old Style" w:cs="WarnockPro-Regular"/>
          <w:sz w:val="24"/>
          <w:szCs w:val="24"/>
        </w:rPr>
        <w:t xml:space="preserve"> de las medidas cautelares personales en una u otra codificación procesal penal. </w:t>
      </w:r>
    </w:p>
    <w:p w:rsidR="00C75D15" w:rsidRPr="004836F6" w:rsidRDefault="00C75D15" w:rsidP="007033BD">
      <w:pPr>
        <w:spacing w:after="0" w:line="240" w:lineRule="auto"/>
        <w:ind w:left="709" w:right="476"/>
        <w:jc w:val="both"/>
        <w:rPr>
          <w:rFonts w:ascii="Bookman Old Style" w:eastAsia="WarnockPro-Regular" w:hAnsi="Bookman Old Style" w:cs="WarnockPro-Regular"/>
          <w:sz w:val="24"/>
          <w:szCs w:val="24"/>
        </w:rPr>
      </w:pPr>
    </w:p>
    <w:p w:rsidR="00C75D15" w:rsidRPr="004836F6" w:rsidRDefault="00C75D15" w:rsidP="007033BD">
      <w:pPr>
        <w:spacing w:after="0" w:line="240" w:lineRule="auto"/>
        <w:ind w:left="709" w:right="476"/>
        <w:jc w:val="both"/>
        <w:rPr>
          <w:rFonts w:ascii="Bookman Old Style" w:eastAsia="WarnockPro-Regular" w:hAnsi="Bookman Old Style" w:cs="WarnockPro-Regular"/>
          <w:sz w:val="24"/>
          <w:szCs w:val="24"/>
        </w:rPr>
      </w:pPr>
      <w:r w:rsidRPr="004836F6">
        <w:rPr>
          <w:rFonts w:ascii="Bookman Old Style" w:eastAsia="WarnockPro-Regular" w:hAnsi="Bookman Old Style" w:cs="WarnockPro-Regular"/>
          <w:sz w:val="24"/>
          <w:szCs w:val="24"/>
        </w:rPr>
        <w:t xml:space="preserve">Y dentro de esa regulación, como se expuso en precedencia, el establecimiento de un límite máximo de vigencia de la detención es manifestación de la garantía fundamental y derecho humano a ser juzgado dentro de un plazo razonable o ser puesto en libertad. Por consiguiente, debiendo hacer parte del </w:t>
      </w:r>
      <w:r w:rsidRPr="004836F6">
        <w:rPr>
          <w:rFonts w:ascii="Bookman Old Style" w:eastAsia="WarnockPro-Regular" w:hAnsi="Bookman Old Style" w:cs="WarnockPro-Regular"/>
          <w:i/>
          <w:sz w:val="24"/>
          <w:szCs w:val="24"/>
        </w:rPr>
        <w:t>debido proceso</w:t>
      </w:r>
      <w:r w:rsidRPr="004836F6">
        <w:rPr>
          <w:rFonts w:ascii="Bookman Old Style" w:eastAsia="WarnockPro-Regular" w:hAnsi="Bookman Old Style" w:cs="WarnockPro-Regular"/>
          <w:sz w:val="24"/>
          <w:szCs w:val="24"/>
        </w:rPr>
        <w:t xml:space="preserve"> </w:t>
      </w:r>
      <w:r w:rsidRPr="004836F6">
        <w:rPr>
          <w:rFonts w:ascii="Bookman Old Style" w:eastAsia="WarnockPro-Regular" w:hAnsi="Bookman Old Style" w:cs="WarnockPro-Regular"/>
          <w:i/>
          <w:sz w:val="24"/>
          <w:szCs w:val="24"/>
        </w:rPr>
        <w:t>cautelar</w:t>
      </w:r>
      <w:r w:rsidRPr="004836F6">
        <w:rPr>
          <w:rFonts w:ascii="Bookman Old Style" w:eastAsia="WarnockPro-Regular" w:hAnsi="Bookman Old Style" w:cs="WarnockPro-Regular"/>
          <w:sz w:val="24"/>
          <w:szCs w:val="24"/>
        </w:rPr>
        <w:t xml:space="preserve">, la norma que fija ese plazo y asigna una consecuencia jurídica a su incumplimiento no es una institución propia o privativa del esquema de investigación y juzgamiento </w:t>
      </w:r>
      <w:r w:rsidRPr="004836F6">
        <w:rPr>
          <w:rFonts w:ascii="Bookman Old Style" w:eastAsia="WarnockPro-Regular" w:hAnsi="Bookman Old Style" w:cs="WarnockPro-Regular"/>
          <w:i/>
          <w:sz w:val="24"/>
          <w:szCs w:val="24"/>
        </w:rPr>
        <w:t>acusatorio-</w:t>
      </w:r>
      <w:proofErr w:type="spellStart"/>
      <w:r w:rsidRPr="004836F6">
        <w:rPr>
          <w:rFonts w:ascii="Bookman Old Style" w:eastAsia="WarnockPro-Regular" w:hAnsi="Bookman Old Style" w:cs="WarnockPro-Regular"/>
          <w:i/>
          <w:sz w:val="24"/>
          <w:szCs w:val="24"/>
        </w:rPr>
        <w:t>adversarial</w:t>
      </w:r>
      <w:proofErr w:type="spellEnd"/>
      <w:r w:rsidRPr="004836F6">
        <w:rPr>
          <w:rFonts w:ascii="Bookman Old Style" w:eastAsia="WarnockPro-Regular" w:hAnsi="Bookman Old Style" w:cs="WarnockPro-Regular"/>
          <w:i/>
          <w:sz w:val="24"/>
          <w:szCs w:val="24"/>
        </w:rPr>
        <w:t xml:space="preserve"> </w:t>
      </w:r>
      <w:r w:rsidRPr="004836F6">
        <w:rPr>
          <w:rFonts w:ascii="Bookman Old Style" w:eastAsia="WarnockPro-Regular" w:hAnsi="Bookman Old Style" w:cs="WarnockPro-Regular"/>
          <w:sz w:val="24"/>
          <w:szCs w:val="24"/>
        </w:rPr>
        <w:t>desarrollado por la Ley 906 de 2004, por lo que su aplicación retroactiva a situaciones gobernadas por la Ley 600 de 2000 de ninguna manera resquebraja el “</w:t>
      </w:r>
      <w:r w:rsidRPr="004836F6">
        <w:rPr>
          <w:rFonts w:ascii="Bookman Old Style" w:eastAsia="WarnockPro-Regular" w:hAnsi="Bookman Old Style" w:cs="WarnockPro-Regular"/>
          <w:i/>
          <w:sz w:val="24"/>
          <w:szCs w:val="24"/>
        </w:rPr>
        <w:t xml:space="preserve">sistema mixto” </w:t>
      </w:r>
      <w:r w:rsidRPr="004836F6">
        <w:rPr>
          <w:rFonts w:ascii="Bookman Old Style" w:eastAsia="WarnockPro-Regular" w:hAnsi="Bookman Old Style" w:cs="WarnockPro-Regular"/>
          <w:sz w:val="24"/>
          <w:szCs w:val="24"/>
        </w:rPr>
        <w:t xml:space="preserve">previsto en esta última codificación. </w:t>
      </w:r>
    </w:p>
    <w:p w:rsidR="00C75D15" w:rsidRPr="004836F6" w:rsidRDefault="00C75D15" w:rsidP="007033BD">
      <w:pPr>
        <w:spacing w:after="0" w:line="240" w:lineRule="auto"/>
        <w:ind w:left="709" w:right="476"/>
        <w:jc w:val="both"/>
        <w:rPr>
          <w:rFonts w:ascii="Bookman Old Style" w:eastAsia="WarnockPro-Regular" w:hAnsi="Bookman Old Style" w:cs="WarnockPro-Regular"/>
          <w:sz w:val="24"/>
          <w:szCs w:val="24"/>
        </w:rPr>
      </w:pPr>
    </w:p>
    <w:p w:rsidR="00C75D15" w:rsidRPr="004836F6" w:rsidRDefault="00C75D15" w:rsidP="007033BD">
      <w:pPr>
        <w:spacing w:after="0" w:line="240" w:lineRule="auto"/>
        <w:ind w:left="709" w:right="476"/>
        <w:jc w:val="both"/>
        <w:rPr>
          <w:rFonts w:ascii="Bookman Old Style" w:eastAsia="WarnockPro-Regular" w:hAnsi="Bookman Old Style" w:cs="WarnockPro-Regular"/>
          <w:sz w:val="24"/>
          <w:szCs w:val="24"/>
        </w:rPr>
      </w:pPr>
      <w:r w:rsidRPr="004836F6">
        <w:rPr>
          <w:rFonts w:ascii="Bookman Old Style" w:eastAsia="WarnockPro-Regular" w:hAnsi="Bookman Old Style" w:cs="WarnockPro-Regular"/>
          <w:sz w:val="24"/>
          <w:szCs w:val="24"/>
        </w:rPr>
        <w:t xml:space="preserve">De suerte que, por las anteriores razones, el parágrafo 1º del art. 307 de la Ley 906 de 2004, modificado por el art. 1º de la Ley 1786 de 2016, es del todo aplicable a procesos regidos por la Ley 600 de 2000. Por tratarse de un derecho fundamental de toda persona investigada o juzgada penalmente con privación de su libertad personal, </w:t>
      </w:r>
      <w:r w:rsidRPr="004836F6">
        <w:rPr>
          <w:rFonts w:ascii="Bookman Old Style" w:eastAsia="WarnockPro-Regular" w:hAnsi="Bookman Old Style" w:cs="WarnockPro-Regular"/>
          <w:i/>
          <w:sz w:val="24"/>
          <w:szCs w:val="24"/>
        </w:rPr>
        <w:t>los plazos</w:t>
      </w:r>
      <w:r w:rsidRPr="004836F6">
        <w:rPr>
          <w:rFonts w:ascii="Bookman Old Style" w:eastAsia="WarnockPro-Regular" w:hAnsi="Bookman Old Style" w:cs="WarnockPro-Regular"/>
          <w:sz w:val="24"/>
          <w:szCs w:val="24"/>
        </w:rPr>
        <w:t xml:space="preserve"> establecidos en la norma rigen para ambos procedimientos. </w:t>
      </w:r>
    </w:p>
    <w:p w:rsidR="00C75D15" w:rsidRPr="004836F6" w:rsidRDefault="00C75D15" w:rsidP="007033BD">
      <w:pPr>
        <w:spacing w:after="0" w:line="240" w:lineRule="auto"/>
        <w:ind w:left="709" w:right="476"/>
        <w:jc w:val="both"/>
        <w:rPr>
          <w:rFonts w:ascii="Bookman Old Style" w:eastAsia="WarnockPro-Regular" w:hAnsi="Bookman Old Style" w:cs="WarnockPro-Regular"/>
          <w:sz w:val="24"/>
          <w:szCs w:val="24"/>
        </w:rPr>
      </w:pPr>
    </w:p>
    <w:p w:rsidR="00C75D15" w:rsidRPr="004836F6" w:rsidRDefault="00C75D15" w:rsidP="007033BD">
      <w:pPr>
        <w:spacing w:after="0" w:line="240" w:lineRule="auto"/>
        <w:ind w:left="709" w:right="476"/>
        <w:jc w:val="both"/>
        <w:rPr>
          <w:rFonts w:ascii="Bookman Old Style" w:eastAsia="WarnockPro-Regular" w:hAnsi="Bookman Old Style" w:cs="WarnockPro-Regular"/>
          <w:sz w:val="24"/>
          <w:szCs w:val="24"/>
        </w:rPr>
      </w:pPr>
      <w:r w:rsidRPr="004836F6">
        <w:rPr>
          <w:rFonts w:ascii="Bookman Old Style" w:eastAsia="WarnockPro-Regular" w:hAnsi="Bookman Old Style" w:cs="WarnockPro-Regular"/>
          <w:sz w:val="24"/>
          <w:szCs w:val="24"/>
        </w:rPr>
        <w:t xml:space="preserve">Ahora, si bien la referida norma menciona al juez de control de garantías como competente para sustituir la medida de aseguramiento por vencimiento del término máximo de vigencia de la detención preventiva, ello no es razón suficiente para predicar la imposibilidad de aplicación retroactiva a procesos tramitados por la Ley 600 de 2000. La competencia recaerá, según la fase procesal, en el fiscal o en el juez de la causa. </w:t>
      </w:r>
    </w:p>
    <w:p w:rsidR="00A45705" w:rsidRPr="004836F6" w:rsidRDefault="00A45705" w:rsidP="007033BD">
      <w:pPr>
        <w:spacing w:after="0" w:line="240" w:lineRule="auto"/>
        <w:ind w:left="709" w:right="476"/>
        <w:jc w:val="both"/>
        <w:rPr>
          <w:rFonts w:ascii="Bookman Old Style" w:eastAsia="WarnockPro-Regular" w:hAnsi="Bookman Old Style" w:cs="WarnockPro-Regular"/>
          <w:sz w:val="24"/>
          <w:szCs w:val="24"/>
        </w:rPr>
      </w:pPr>
    </w:p>
    <w:p w:rsidR="00C75D15" w:rsidRPr="004836F6" w:rsidRDefault="00C75D15" w:rsidP="007033BD">
      <w:pPr>
        <w:spacing w:after="0" w:line="240" w:lineRule="auto"/>
        <w:ind w:left="709" w:right="476"/>
        <w:jc w:val="both"/>
        <w:rPr>
          <w:rFonts w:ascii="Bookman Old Style" w:eastAsia="WarnockPro-Regular" w:hAnsi="Bookman Old Style" w:cs="WarnockPro-Regular"/>
          <w:sz w:val="24"/>
          <w:szCs w:val="24"/>
        </w:rPr>
      </w:pPr>
      <w:r w:rsidRPr="004836F6">
        <w:rPr>
          <w:rFonts w:ascii="Bookman Old Style" w:eastAsia="WarnockPro-Regular" w:hAnsi="Bookman Old Style" w:cs="WarnockPro-Regular"/>
          <w:sz w:val="24"/>
          <w:szCs w:val="24"/>
        </w:rPr>
        <w:t xml:space="preserve">De otro lado, la inexistencia de medidas de aseguramiento no privativas de la libertad en la Ley 600 de 2000 (art. 356 inc. 1º) tampoco es óbice para impedir la limitación de la vigencia </w:t>
      </w:r>
      <w:r w:rsidRPr="004836F6">
        <w:rPr>
          <w:rFonts w:ascii="Bookman Old Style" w:eastAsia="WarnockPro-Regular" w:hAnsi="Bookman Old Style" w:cs="WarnockPro-Regular"/>
          <w:sz w:val="24"/>
          <w:szCs w:val="24"/>
        </w:rPr>
        <w:lastRenderedPageBreak/>
        <w:t xml:space="preserve">de la detención preventiva -establecida en la Ley 906 de 2004- en dicha codificación. Al respecto, también la Corte tiene definido que, en virtud del principio de favorabilidad, es dable aplicar las medidas de aseguramiento previstas en el art. 307 </w:t>
      </w:r>
      <w:proofErr w:type="spellStart"/>
      <w:r w:rsidRPr="004836F6">
        <w:rPr>
          <w:rFonts w:ascii="Bookman Old Style" w:eastAsia="WarnockPro-Regular" w:hAnsi="Bookman Old Style" w:cs="WarnockPro-Regular"/>
          <w:sz w:val="24"/>
          <w:szCs w:val="24"/>
        </w:rPr>
        <w:t>lit.</w:t>
      </w:r>
      <w:proofErr w:type="spellEnd"/>
      <w:r w:rsidRPr="004836F6">
        <w:rPr>
          <w:rFonts w:ascii="Bookman Old Style" w:eastAsia="WarnockPro-Regular" w:hAnsi="Bookman Old Style" w:cs="WarnockPro-Regular"/>
          <w:sz w:val="24"/>
          <w:szCs w:val="24"/>
        </w:rPr>
        <w:t xml:space="preserve"> b) de la Ley 906 de 2004 a procesados investigados o juzgados bajo los ritos procesales de la Ley 600 de 2000 (cfr. entre otras CSJ AP 10 oct. 2012, rad. 29.726). </w:t>
      </w:r>
    </w:p>
    <w:p w:rsidR="00C75D15" w:rsidRPr="004836F6" w:rsidRDefault="00C75D15" w:rsidP="00CB7766">
      <w:pPr>
        <w:spacing w:after="0" w:line="336" w:lineRule="auto"/>
        <w:ind w:firstLine="705"/>
        <w:jc w:val="both"/>
        <w:rPr>
          <w:rFonts w:ascii="Bookman Old Style" w:eastAsia="WarnockPro-Regular" w:hAnsi="Bookman Old Style" w:cs="WarnockPro-Regular"/>
          <w:sz w:val="27"/>
          <w:szCs w:val="27"/>
        </w:rPr>
      </w:pPr>
    </w:p>
    <w:p w:rsidR="00315572" w:rsidRPr="004836F6" w:rsidRDefault="00774F98" w:rsidP="00CB7766">
      <w:pPr>
        <w:spacing w:after="0" w:line="336" w:lineRule="auto"/>
        <w:ind w:firstLine="705"/>
        <w:jc w:val="both"/>
        <w:rPr>
          <w:rFonts w:ascii="Bookman Old Style" w:hAnsi="Bookman Old Style"/>
          <w:sz w:val="27"/>
          <w:szCs w:val="27"/>
        </w:rPr>
      </w:pPr>
      <w:r w:rsidRPr="004836F6">
        <w:rPr>
          <w:rFonts w:ascii="Bookman Old Style" w:eastAsia="WarnockPro-Regular" w:hAnsi="Bookman Old Style" w:cs="WarnockPro-Regular"/>
          <w:sz w:val="27"/>
          <w:szCs w:val="27"/>
        </w:rPr>
        <w:t xml:space="preserve">Bien se ve, entonces, que contrario a lo expuesto por </w:t>
      </w:r>
      <w:r w:rsidR="004D379A" w:rsidRPr="004836F6">
        <w:rPr>
          <w:rFonts w:ascii="Bookman Old Style" w:eastAsia="WarnockPro-Regular" w:hAnsi="Bookman Old Style" w:cs="WarnockPro-Regular"/>
          <w:sz w:val="27"/>
          <w:szCs w:val="27"/>
        </w:rPr>
        <w:t xml:space="preserve">el Procurador Judicial II, </w:t>
      </w:r>
      <w:r w:rsidR="008B2B01" w:rsidRPr="004836F6">
        <w:rPr>
          <w:rFonts w:ascii="Bookman Old Style" w:eastAsia="WarnockPro-Regular" w:hAnsi="Bookman Old Style" w:cs="WarnockPro-Regular"/>
          <w:sz w:val="27"/>
          <w:szCs w:val="27"/>
        </w:rPr>
        <w:t xml:space="preserve">las disposiciones de la Ley 1786 de 2016, en cuanto a la determinación legal del plazo máximo para investigar y juzgar con privación de libertad, así como en relación con la figura de la sustitución de la detención, por superación de dicho término, </w:t>
      </w:r>
      <w:r w:rsidR="004D379A" w:rsidRPr="004836F6">
        <w:rPr>
          <w:rFonts w:ascii="Bookman Old Style" w:eastAsia="WarnockPro-Regular" w:hAnsi="Bookman Old Style" w:cs="WarnockPro-Regular"/>
          <w:i/>
          <w:sz w:val="27"/>
          <w:szCs w:val="27"/>
        </w:rPr>
        <w:t>deben ser</w:t>
      </w:r>
      <w:r w:rsidR="008B2B01" w:rsidRPr="004836F6">
        <w:rPr>
          <w:rFonts w:ascii="Bookman Old Style" w:eastAsia="WarnockPro-Regular" w:hAnsi="Bookman Old Style" w:cs="WarnockPro-Regular"/>
          <w:sz w:val="27"/>
          <w:szCs w:val="27"/>
        </w:rPr>
        <w:t xml:space="preserve"> aplicables a procesos penales gobernados por la Ley 600 de 2000. </w:t>
      </w:r>
      <w:r w:rsidR="007032F2" w:rsidRPr="004836F6">
        <w:rPr>
          <w:rFonts w:ascii="Bookman Old Style" w:eastAsia="WarnockPro-Regular" w:hAnsi="Bookman Old Style" w:cs="WarnockPro-Regular"/>
          <w:sz w:val="27"/>
          <w:szCs w:val="27"/>
        </w:rPr>
        <w:t>Tales razones no pueden, sin más, ser desconocidas en el prese</w:t>
      </w:r>
      <w:r w:rsidR="00A80FDE" w:rsidRPr="004836F6">
        <w:rPr>
          <w:rFonts w:ascii="Bookman Old Style" w:eastAsia="WarnockPro-Regular" w:hAnsi="Bookman Old Style" w:cs="WarnockPro-Regular"/>
          <w:sz w:val="27"/>
          <w:szCs w:val="27"/>
        </w:rPr>
        <w:t xml:space="preserve">nte caso </w:t>
      </w:r>
      <w:r w:rsidR="007032F2" w:rsidRPr="004836F6">
        <w:rPr>
          <w:rFonts w:ascii="Bookman Old Style" w:eastAsia="WarnockPro-Regular" w:hAnsi="Bookman Old Style" w:cs="WarnockPro-Regular"/>
          <w:sz w:val="27"/>
          <w:szCs w:val="27"/>
        </w:rPr>
        <w:t xml:space="preserve">ni mucho menos constituir un supuesto de impedimento en la acción constitucional, pues </w:t>
      </w:r>
      <w:r w:rsidR="007032F2" w:rsidRPr="004836F6">
        <w:rPr>
          <w:rFonts w:ascii="Bookman Old Style" w:hAnsi="Bookman Old Style"/>
          <w:sz w:val="27"/>
          <w:szCs w:val="27"/>
        </w:rPr>
        <w:t xml:space="preserve">la decisión CSJ AP4711 del 24 de julio de 2017 constituye un referente </w:t>
      </w:r>
      <w:r w:rsidR="0034398C">
        <w:rPr>
          <w:rFonts w:ascii="Bookman Old Style" w:hAnsi="Bookman Old Style"/>
          <w:sz w:val="27"/>
          <w:szCs w:val="27"/>
        </w:rPr>
        <w:t>de obligatoria consideración por los jueces</w:t>
      </w:r>
      <w:r w:rsidR="007032F2" w:rsidRPr="004836F6">
        <w:rPr>
          <w:rFonts w:ascii="Bookman Old Style" w:hAnsi="Bookman Old Style"/>
          <w:sz w:val="27"/>
          <w:szCs w:val="27"/>
        </w:rPr>
        <w:t>, dictad</w:t>
      </w:r>
      <w:r w:rsidR="00433593" w:rsidRPr="004836F6">
        <w:rPr>
          <w:rFonts w:ascii="Bookman Old Style" w:hAnsi="Bookman Old Style"/>
          <w:sz w:val="27"/>
          <w:szCs w:val="27"/>
        </w:rPr>
        <w:t>o</w:t>
      </w:r>
      <w:r w:rsidR="007032F2" w:rsidRPr="004836F6">
        <w:rPr>
          <w:rFonts w:ascii="Bookman Old Style" w:hAnsi="Bookman Old Style"/>
          <w:sz w:val="27"/>
          <w:szCs w:val="27"/>
        </w:rPr>
        <w:t xml:space="preserve"> por la Corte en ejercicio de su función de unificación jurisprudencial, para determinar los contornos específicos de aplicación </w:t>
      </w:r>
      <w:r w:rsidR="007032F2" w:rsidRPr="004836F6">
        <w:rPr>
          <w:rFonts w:ascii="Bookman Old Style" w:hAnsi="Bookman Old Style"/>
          <w:sz w:val="25"/>
          <w:szCs w:val="25"/>
        </w:rPr>
        <w:t>-</w:t>
      </w:r>
      <w:r w:rsidR="007032F2" w:rsidRPr="004836F6">
        <w:rPr>
          <w:rFonts w:ascii="Bookman Old Style" w:hAnsi="Bookman Old Style"/>
          <w:i/>
          <w:sz w:val="25"/>
          <w:szCs w:val="25"/>
        </w:rPr>
        <w:t>general y abstracta</w:t>
      </w:r>
      <w:r w:rsidR="007032F2" w:rsidRPr="004836F6">
        <w:rPr>
          <w:rFonts w:ascii="Bookman Old Style" w:hAnsi="Bookman Old Style"/>
          <w:sz w:val="25"/>
          <w:szCs w:val="25"/>
        </w:rPr>
        <w:t xml:space="preserve">- </w:t>
      </w:r>
      <w:r w:rsidR="007032F2" w:rsidRPr="004836F6">
        <w:rPr>
          <w:rFonts w:ascii="Bookman Old Style" w:hAnsi="Bookman Old Style"/>
          <w:sz w:val="27"/>
          <w:szCs w:val="27"/>
        </w:rPr>
        <w:t>de las normas en cuestión, que el juez de tutela ha de considerar para establecer si en el caso bajo análisis</w:t>
      </w:r>
      <w:r w:rsidR="00BB06F0" w:rsidRPr="004836F6">
        <w:rPr>
          <w:rFonts w:ascii="Bookman Old Style" w:hAnsi="Bookman Old Style"/>
          <w:sz w:val="27"/>
          <w:szCs w:val="27"/>
        </w:rPr>
        <w:t xml:space="preserve"> efectivamente</w:t>
      </w:r>
      <w:r w:rsidR="007032F2" w:rsidRPr="004836F6">
        <w:rPr>
          <w:rFonts w:ascii="Bookman Old Style" w:hAnsi="Bookman Old Style"/>
          <w:sz w:val="27"/>
          <w:szCs w:val="27"/>
        </w:rPr>
        <w:t xml:space="preserve"> existió vulneración del debido proceso. </w:t>
      </w:r>
    </w:p>
    <w:p w:rsidR="007032F2" w:rsidRPr="004836F6" w:rsidRDefault="007032F2" w:rsidP="00CB7766">
      <w:pPr>
        <w:spacing w:after="0" w:line="336" w:lineRule="auto"/>
        <w:ind w:firstLine="705"/>
        <w:jc w:val="both"/>
        <w:rPr>
          <w:rFonts w:ascii="Bookman Old Style" w:hAnsi="Bookman Old Style"/>
          <w:sz w:val="27"/>
          <w:szCs w:val="27"/>
        </w:rPr>
      </w:pPr>
    </w:p>
    <w:p w:rsidR="007032F2" w:rsidRPr="004836F6" w:rsidRDefault="007032F2" w:rsidP="00CB7766">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 xml:space="preserve">Ahora bien, </w:t>
      </w:r>
      <w:r w:rsidR="004D379A" w:rsidRPr="004836F6">
        <w:rPr>
          <w:rFonts w:ascii="Bookman Old Style" w:hAnsi="Bookman Old Style"/>
          <w:sz w:val="27"/>
          <w:szCs w:val="27"/>
        </w:rPr>
        <w:t xml:space="preserve">en el </w:t>
      </w:r>
      <w:proofErr w:type="spellStart"/>
      <w:r w:rsidR="004D379A" w:rsidRPr="004836F6">
        <w:rPr>
          <w:rFonts w:ascii="Bookman Old Style" w:hAnsi="Bookman Old Style"/>
          <w:sz w:val="27"/>
          <w:szCs w:val="27"/>
        </w:rPr>
        <w:t>plurimencionado</w:t>
      </w:r>
      <w:proofErr w:type="spellEnd"/>
      <w:r w:rsidR="004D379A" w:rsidRPr="004836F6">
        <w:rPr>
          <w:rFonts w:ascii="Bookman Old Style" w:hAnsi="Bookman Old Style"/>
          <w:sz w:val="27"/>
          <w:szCs w:val="27"/>
        </w:rPr>
        <w:t xml:space="preserve"> auto, la Sala de Casación Penal no discurrió sobre la figura de la </w:t>
      </w:r>
      <w:r w:rsidR="004D379A" w:rsidRPr="004836F6">
        <w:rPr>
          <w:rFonts w:ascii="Bookman Old Style" w:hAnsi="Bookman Old Style"/>
          <w:i/>
          <w:sz w:val="27"/>
          <w:szCs w:val="27"/>
        </w:rPr>
        <w:t>prórroga</w:t>
      </w:r>
      <w:r w:rsidR="004D379A" w:rsidRPr="004836F6">
        <w:rPr>
          <w:rFonts w:ascii="Bookman Old Style" w:hAnsi="Bookman Old Style"/>
          <w:sz w:val="27"/>
          <w:szCs w:val="27"/>
        </w:rPr>
        <w:t xml:space="preserve"> del término máximo de vigencia de la detención preventiva, aspecto medular para la solución del presente asunto de relevancia </w:t>
      </w:r>
      <w:r w:rsidR="00BB06F0" w:rsidRPr="004836F6">
        <w:rPr>
          <w:rFonts w:ascii="Bookman Old Style" w:hAnsi="Bookman Old Style"/>
          <w:sz w:val="27"/>
          <w:szCs w:val="27"/>
        </w:rPr>
        <w:t>constitucional</w:t>
      </w:r>
      <w:r w:rsidR="00546CEC" w:rsidRPr="004836F6">
        <w:rPr>
          <w:rFonts w:ascii="Bookman Old Style" w:hAnsi="Bookman Old Style"/>
          <w:sz w:val="27"/>
          <w:szCs w:val="27"/>
        </w:rPr>
        <w:t xml:space="preserve">. A ello procede enseguida la Sala. </w:t>
      </w:r>
    </w:p>
    <w:p w:rsidR="00546CEC" w:rsidRPr="004836F6" w:rsidRDefault="00546CEC" w:rsidP="00CB7766">
      <w:pPr>
        <w:spacing w:after="0" w:line="336" w:lineRule="auto"/>
        <w:ind w:firstLine="705"/>
        <w:jc w:val="both"/>
        <w:rPr>
          <w:rFonts w:ascii="Bookman Old Style" w:eastAsia="WarnockPro-Regular" w:hAnsi="Bookman Old Style" w:cs="WarnockPro-Regular"/>
          <w:b/>
          <w:sz w:val="27"/>
          <w:szCs w:val="27"/>
        </w:rPr>
      </w:pPr>
    </w:p>
    <w:p w:rsidR="00480453" w:rsidRPr="004836F6" w:rsidRDefault="00546CEC" w:rsidP="00CB7766">
      <w:pPr>
        <w:spacing w:after="0" w:line="336" w:lineRule="auto"/>
        <w:ind w:firstLine="705"/>
        <w:jc w:val="both"/>
        <w:rPr>
          <w:rFonts w:ascii="Bookman Old Style" w:eastAsia="WarnockPro-Regular" w:hAnsi="Bookman Old Style" w:cs="WarnockPro-Regular"/>
          <w:b/>
          <w:sz w:val="27"/>
          <w:szCs w:val="27"/>
        </w:rPr>
      </w:pPr>
      <w:r w:rsidRPr="004836F6">
        <w:rPr>
          <w:rFonts w:ascii="Bookman Old Style" w:eastAsia="WarnockPro-Regular" w:hAnsi="Bookman Old Style" w:cs="WarnockPro-Regular"/>
          <w:b/>
          <w:sz w:val="27"/>
          <w:szCs w:val="27"/>
        </w:rPr>
        <w:lastRenderedPageBreak/>
        <w:t>2.4</w:t>
      </w:r>
      <w:r w:rsidR="00480453" w:rsidRPr="004836F6">
        <w:rPr>
          <w:rFonts w:ascii="Bookman Old Style" w:eastAsia="WarnockPro-Regular" w:hAnsi="Bookman Old Style" w:cs="WarnockPro-Regular"/>
          <w:b/>
          <w:sz w:val="27"/>
          <w:szCs w:val="27"/>
        </w:rPr>
        <w:t xml:space="preserve"> Sobre la </w:t>
      </w:r>
      <w:r w:rsidR="00480453" w:rsidRPr="004836F6">
        <w:rPr>
          <w:rFonts w:ascii="Bookman Old Style" w:eastAsia="WarnockPro-Regular" w:hAnsi="Bookman Old Style" w:cs="WarnockPro-Regular"/>
          <w:b/>
          <w:i/>
          <w:sz w:val="27"/>
          <w:szCs w:val="27"/>
        </w:rPr>
        <w:t>prórroga</w:t>
      </w:r>
      <w:r w:rsidR="00480453" w:rsidRPr="004836F6">
        <w:rPr>
          <w:rFonts w:ascii="Bookman Old Style" w:eastAsia="WarnockPro-Regular" w:hAnsi="Bookman Old Style" w:cs="WarnockPro-Regular"/>
          <w:b/>
          <w:sz w:val="27"/>
          <w:szCs w:val="27"/>
        </w:rPr>
        <w:t xml:space="preserve"> del término máximo de vigencia de la detención preventiva</w:t>
      </w:r>
    </w:p>
    <w:p w:rsidR="00C761A6" w:rsidRPr="004836F6" w:rsidRDefault="00C761A6" w:rsidP="00CB7766">
      <w:pPr>
        <w:spacing w:after="0" w:line="336" w:lineRule="auto"/>
        <w:ind w:firstLine="705"/>
        <w:jc w:val="both"/>
        <w:rPr>
          <w:rFonts w:ascii="Bookman Old Style" w:eastAsia="WarnockPro-Regular" w:hAnsi="Bookman Old Style" w:cs="WarnockPro-Regular"/>
          <w:b/>
          <w:sz w:val="27"/>
          <w:szCs w:val="27"/>
        </w:rPr>
      </w:pPr>
    </w:p>
    <w:p w:rsidR="00C761A6" w:rsidRPr="004836F6" w:rsidRDefault="00C761A6" w:rsidP="00CB7766">
      <w:pPr>
        <w:spacing w:after="0" w:line="336" w:lineRule="auto"/>
        <w:ind w:firstLine="705"/>
        <w:jc w:val="both"/>
        <w:rPr>
          <w:rFonts w:ascii="Bookman Old Style" w:eastAsia="WarnockPro-Regular" w:hAnsi="Bookman Old Style" w:cs="WarnockPro-Regular"/>
          <w:b/>
          <w:sz w:val="27"/>
          <w:szCs w:val="27"/>
        </w:rPr>
      </w:pPr>
      <w:r w:rsidRPr="004836F6">
        <w:rPr>
          <w:rFonts w:ascii="Bookman Old Style" w:eastAsia="WarnockPro-Regular" w:hAnsi="Bookman Old Style" w:cs="WarnockPro-Regular"/>
          <w:b/>
          <w:sz w:val="27"/>
          <w:szCs w:val="27"/>
        </w:rPr>
        <w:t>2.4.1 Aspectos procedimentales</w:t>
      </w:r>
    </w:p>
    <w:p w:rsidR="00480453" w:rsidRPr="004836F6" w:rsidRDefault="00480453" w:rsidP="00CB7766">
      <w:pPr>
        <w:spacing w:after="0" w:line="336" w:lineRule="auto"/>
        <w:ind w:firstLine="705"/>
        <w:jc w:val="both"/>
        <w:rPr>
          <w:rFonts w:ascii="Bookman Old Style" w:eastAsia="WarnockPro-Regular" w:hAnsi="Bookman Old Style" w:cs="WarnockPro-Regular"/>
          <w:b/>
          <w:sz w:val="27"/>
          <w:szCs w:val="27"/>
        </w:rPr>
      </w:pPr>
    </w:p>
    <w:p w:rsidR="00480453" w:rsidRPr="004836F6" w:rsidRDefault="007162C6" w:rsidP="00CB7766">
      <w:pPr>
        <w:spacing w:after="0" w:line="336" w:lineRule="auto"/>
        <w:ind w:firstLine="705"/>
        <w:jc w:val="both"/>
        <w:rPr>
          <w:rFonts w:ascii="Bookman Old Style" w:eastAsia="WarnockPro-Regular" w:hAnsi="Bookman Old Style" w:cs="WarnockPro-Regular"/>
          <w:sz w:val="27"/>
          <w:szCs w:val="27"/>
        </w:rPr>
      </w:pPr>
      <w:r w:rsidRPr="004836F6">
        <w:rPr>
          <w:rFonts w:ascii="Bookman Old Style" w:eastAsia="WarnockPro-Regular" w:hAnsi="Bookman Old Style" w:cs="WarnockPro-Regular"/>
          <w:sz w:val="27"/>
          <w:szCs w:val="27"/>
        </w:rPr>
        <w:t>Ciertamente, las leyes 1760 de 2015 y 1786 de 2016,</w:t>
      </w:r>
      <w:r w:rsidRPr="004836F6">
        <w:rPr>
          <w:rFonts w:ascii="Bookman Old Style" w:eastAsia="WarnockPro-Regular" w:hAnsi="Bookman Old Style" w:cs="WarnockPro-Regular"/>
          <w:i/>
          <w:sz w:val="27"/>
          <w:szCs w:val="27"/>
        </w:rPr>
        <w:t xml:space="preserve"> en línea de principio</w:t>
      </w:r>
      <w:r w:rsidRPr="004836F6">
        <w:rPr>
          <w:rFonts w:ascii="Bookman Old Style" w:eastAsia="WarnockPro-Regular" w:hAnsi="Bookman Old Style" w:cs="WarnockPro-Regular"/>
          <w:sz w:val="27"/>
          <w:szCs w:val="27"/>
        </w:rPr>
        <w:t xml:space="preserve">, </w:t>
      </w:r>
      <w:r w:rsidR="00701BCB" w:rsidRPr="004836F6">
        <w:rPr>
          <w:rFonts w:ascii="Bookman Old Style" w:eastAsia="WarnockPro-Regular" w:hAnsi="Bookman Old Style" w:cs="WarnockPro-Regular"/>
          <w:sz w:val="27"/>
          <w:szCs w:val="27"/>
        </w:rPr>
        <w:t xml:space="preserve">fueron expedidas con el propósito de modificar el esquema procesal penal desarrollado por la Ley 906 de 2004. Sin embargo, como se expuso con antelación </w:t>
      </w:r>
      <w:r w:rsidR="00701BCB" w:rsidRPr="004836F6">
        <w:rPr>
          <w:rFonts w:ascii="Bookman Old Style" w:eastAsia="WarnockPro-Regular" w:hAnsi="Bookman Old Style" w:cs="WarnockPro-Regular"/>
          <w:sz w:val="24"/>
          <w:szCs w:val="24"/>
        </w:rPr>
        <w:t xml:space="preserve">(cfr. </w:t>
      </w:r>
      <w:proofErr w:type="spellStart"/>
      <w:r w:rsidR="00701BCB" w:rsidRPr="004836F6">
        <w:rPr>
          <w:rFonts w:ascii="Bookman Old Style" w:eastAsia="WarnockPro-Regular" w:hAnsi="Bookman Old Style" w:cs="WarnockPro-Regular"/>
          <w:sz w:val="24"/>
          <w:szCs w:val="24"/>
        </w:rPr>
        <w:t>num</w:t>
      </w:r>
      <w:proofErr w:type="spellEnd"/>
      <w:r w:rsidR="00701BCB" w:rsidRPr="004836F6">
        <w:rPr>
          <w:rFonts w:ascii="Bookman Old Style" w:eastAsia="WarnockPro-Regular" w:hAnsi="Bookman Old Style" w:cs="WarnockPro-Regular"/>
          <w:sz w:val="24"/>
          <w:szCs w:val="24"/>
        </w:rPr>
        <w:t xml:space="preserve">. </w:t>
      </w:r>
      <w:r w:rsidR="00D72CE0" w:rsidRPr="004836F6">
        <w:rPr>
          <w:rFonts w:ascii="Bookman Old Style" w:eastAsia="WarnockPro-Regular" w:hAnsi="Bookman Old Style" w:cs="WarnockPro-Regular"/>
          <w:sz w:val="24"/>
          <w:szCs w:val="24"/>
        </w:rPr>
        <w:t xml:space="preserve">2.2.3 </w:t>
      </w:r>
      <w:r w:rsidR="00D72CE0" w:rsidRPr="004836F6">
        <w:rPr>
          <w:rFonts w:ascii="Bookman Old Style" w:eastAsia="WarnockPro-Regular" w:hAnsi="Bookman Old Style" w:cs="WarnockPro-Regular"/>
          <w:i/>
          <w:sz w:val="24"/>
          <w:szCs w:val="24"/>
        </w:rPr>
        <w:t>supra</w:t>
      </w:r>
      <w:r w:rsidR="00D72CE0" w:rsidRPr="004836F6">
        <w:rPr>
          <w:rFonts w:ascii="Bookman Old Style" w:eastAsia="WarnockPro-Regular" w:hAnsi="Bookman Old Style" w:cs="WarnockPro-Regular"/>
          <w:sz w:val="24"/>
          <w:szCs w:val="24"/>
        </w:rPr>
        <w:t xml:space="preserve">), </w:t>
      </w:r>
      <w:r w:rsidR="00D72CE0" w:rsidRPr="004836F6">
        <w:rPr>
          <w:rFonts w:ascii="Bookman Old Style" w:eastAsia="WarnockPro-Regular" w:hAnsi="Bookman Old Style" w:cs="WarnockPro-Regular"/>
          <w:sz w:val="27"/>
          <w:szCs w:val="27"/>
        </w:rPr>
        <w:t xml:space="preserve">por tratarse de la concreción legal de una garantía fundamental, la </w:t>
      </w:r>
      <w:r w:rsidR="00D72CE0" w:rsidRPr="004836F6">
        <w:rPr>
          <w:rFonts w:ascii="Bookman Old Style" w:eastAsia="WarnockPro-Regular" w:hAnsi="Bookman Old Style" w:cs="WarnockPro-Regular"/>
          <w:i/>
          <w:sz w:val="27"/>
          <w:szCs w:val="27"/>
        </w:rPr>
        <w:t>determinación del plazo</w:t>
      </w:r>
      <w:r w:rsidR="00D72CE0" w:rsidRPr="004836F6">
        <w:rPr>
          <w:rFonts w:ascii="Bookman Old Style" w:eastAsia="WarnockPro-Regular" w:hAnsi="Bookman Old Style" w:cs="WarnockPro-Regular"/>
          <w:sz w:val="27"/>
          <w:szCs w:val="27"/>
        </w:rPr>
        <w:t xml:space="preserve"> razonable para investigar y juzgar con privación cautelar de la libertad</w:t>
      </w:r>
      <w:r w:rsidR="00BC117A" w:rsidRPr="004836F6">
        <w:rPr>
          <w:rFonts w:ascii="Bookman Old Style" w:eastAsia="WarnockPro-Regular" w:hAnsi="Bookman Old Style" w:cs="WarnockPro-Regular"/>
          <w:sz w:val="27"/>
          <w:szCs w:val="27"/>
        </w:rPr>
        <w:t xml:space="preserve"> no es privativa de ningún esquema de juzgamiento en particular, sino que resulta aplicable al margen de las diversas formas de adelantar la investigación y el juzgamiento. Por esa misma razón, las </w:t>
      </w:r>
      <w:r w:rsidR="00BC117A" w:rsidRPr="004836F6">
        <w:rPr>
          <w:rFonts w:ascii="Bookman Old Style" w:eastAsia="WarnockPro-Regular" w:hAnsi="Bookman Old Style" w:cs="WarnockPro-Regular"/>
          <w:i/>
          <w:sz w:val="27"/>
          <w:szCs w:val="27"/>
        </w:rPr>
        <w:t>sanciones</w:t>
      </w:r>
      <w:r w:rsidR="00BC117A" w:rsidRPr="004836F6">
        <w:rPr>
          <w:rFonts w:ascii="Bookman Old Style" w:eastAsia="WarnockPro-Regular" w:hAnsi="Bookman Old Style" w:cs="WarnockPro-Regular"/>
          <w:sz w:val="27"/>
          <w:szCs w:val="27"/>
        </w:rPr>
        <w:t xml:space="preserve"> e</w:t>
      </w:r>
      <w:r w:rsidR="00FF0106" w:rsidRPr="004836F6">
        <w:rPr>
          <w:rFonts w:ascii="Bookman Old Style" w:eastAsia="WarnockPro-Regular" w:hAnsi="Bookman Old Style" w:cs="WarnockPro-Regular"/>
          <w:sz w:val="27"/>
          <w:szCs w:val="27"/>
        </w:rPr>
        <w:t>stablecidas por el legislador para</w:t>
      </w:r>
      <w:r w:rsidR="00BC117A" w:rsidRPr="004836F6">
        <w:rPr>
          <w:rFonts w:ascii="Bookman Old Style" w:eastAsia="WarnockPro-Regular" w:hAnsi="Bookman Old Style" w:cs="WarnockPro-Regular"/>
          <w:sz w:val="27"/>
          <w:szCs w:val="27"/>
        </w:rPr>
        <w:t xml:space="preserve"> el desconocimiento de los t</w:t>
      </w:r>
      <w:r w:rsidR="006F3363" w:rsidRPr="004836F6">
        <w:rPr>
          <w:rFonts w:ascii="Bookman Old Style" w:eastAsia="WarnockPro-Regular" w:hAnsi="Bookman Old Style" w:cs="WarnockPro-Regular"/>
          <w:sz w:val="27"/>
          <w:szCs w:val="27"/>
        </w:rPr>
        <w:t xml:space="preserve">érminos han de operar </w:t>
      </w:r>
      <w:r w:rsidR="001B7C9D" w:rsidRPr="004836F6">
        <w:rPr>
          <w:rFonts w:ascii="Bookman Old Style" w:eastAsia="WarnockPro-Regular" w:hAnsi="Bookman Old Style" w:cs="WarnockPro-Regular"/>
          <w:sz w:val="27"/>
          <w:szCs w:val="27"/>
        </w:rPr>
        <w:t xml:space="preserve">tanto en uno como en otro régimen procedimental. </w:t>
      </w:r>
    </w:p>
    <w:p w:rsidR="00BE4D0A" w:rsidRPr="004836F6" w:rsidRDefault="00BE4D0A" w:rsidP="00CB7766">
      <w:pPr>
        <w:spacing w:after="0" w:line="336" w:lineRule="auto"/>
        <w:ind w:firstLine="705"/>
        <w:jc w:val="both"/>
        <w:rPr>
          <w:rFonts w:ascii="Bookman Old Style" w:eastAsia="WarnockPro-Regular" w:hAnsi="Bookman Old Style" w:cs="WarnockPro-Regular"/>
          <w:sz w:val="27"/>
          <w:szCs w:val="27"/>
        </w:rPr>
      </w:pPr>
    </w:p>
    <w:p w:rsidR="00616C33" w:rsidRPr="004836F6" w:rsidRDefault="00616C33" w:rsidP="00CB7766">
      <w:pPr>
        <w:tabs>
          <w:tab w:val="left" w:pos="709"/>
        </w:tabs>
        <w:spacing w:after="0" w:line="336" w:lineRule="auto"/>
        <w:ind w:right="51"/>
        <w:jc w:val="both"/>
        <w:rPr>
          <w:rFonts w:ascii="Bookman Old Style" w:hAnsi="Bookman Old Style"/>
          <w:i/>
          <w:sz w:val="27"/>
          <w:szCs w:val="27"/>
        </w:rPr>
      </w:pPr>
      <w:r w:rsidRPr="004836F6">
        <w:rPr>
          <w:rFonts w:ascii="Bookman Old Style" w:hAnsi="Bookman Old Style"/>
          <w:sz w:val="27"/>
          <w:szCs w:val="27"/>
        </w:rPr>
        <w:tab/>
      </w:r>
      <w:r w:rsidR="007062E5" w:rsidRPr="004836F6">
        <w:rPr>
          <w:rFonts w:ascii="Bookman Old Style" w:hAnsi="Bookman Old Style"/>
          <w:sz w:val="27"/>
          <w:szCs w:val="27"/>
        </w:rPr>
        <w:t xml:space="preserve">El </w:t>
      </w:r>
      <w:r w:rsidR="00F937ED" w:rsidRPr="004836F6">
        <w:rPr>
          <w:rFonts w:ascii="Bookman Old Style" w:hAnsi="Bookman Old Style"/>
          <w:sz w:val="27"/>
          <w:szCs w:val="27"/>
        </w:rPr>
        <w:t xml:space="preserve">plazo </w:t>
      </w:r>
      <w:r w:rsidR="007062E5" w:rsidRPr="004836F6">
        <w:rPr>
          <w:rFonts w:ascii="Bookman Old Style" w:hAnsi="Bookman Old Style"/>
          <w:sz w:val="27"/>
          <w:szCs w:val="27"/>
        </w:rPr>
        <w:t>máximo de duración de la medida de aseguramiento</w:t>
      </w:r>
      <w:r w:rsidRPr="004836F6">
        <w:rPr>
          <w:rFonts w:ascii="Bookman Old Style" w:hAnsi="Bookman Old Style"/>
          <w:sz w:val="27"/>
          <w:szCs w:val="27"/>
        </w:rPr>
        <w:t xml:space="preserve"> privativa de la libertad, según el art. 1º de la Ley 1786 de 2016, </w:t>
      </w:r>
      <w:r w:rsidR="00C3507D" w:rsidRPr="004836F6">
        <w:rPr>
          <w:rFonts w:ascii="Bookman Old Style" w:hAnsi="Bookman Old Style"/>
          <w:sz w:val="27"/>
          <w:szCs w:val="27"/>
        </w:rPr>
        <w:t xml:space="preserve">no podrá exceder de un año, prorrogable hasta por el mismo término inicial, en determinadas circunstancias, </w:t>
      </w:r>
      <w:r w:rsidR="00C3507D" w:rsidRPr="004836F6">
        <w:rPr>
          <w:rFonts w:ascii="Bookman Old Style" w:hAnsi="Bookman Old Style"/>
          <w:i/>
          <w:sz w:val="27"/>
          <w:szCs w:val="27"/>
        </w:rPr>
        <w:t xml:space="preserve">a solicitud del fiscal o del apoderado de la víctima. </w:t>
      </w:r>
      <w:r w:rsidR="007339D0" w:rsidRPr="004836F6">
        <w:rPr>
          <w:rFonts w:ascii="Bookman Old Style" w:hAnsi="Bookman Old Style"/>
          <w:sz w:val="27"/>
          <w:szCs w:val="27"/>
        </w:rPr>
        <w:t>La prórroga de dicho término máximo</w:t>
      </w:r>
      <w:r w:rsidR="009E1153" w:rsidRPr="004836F6">
        <w:rPr>
          <w:rFonts w:ascii="Bookman Old Style" w:hAnsi="Bookman Old Style"/>
          <w:sz w:val="27"/>
          <w:szCs w:val="27"/>
        </w:rPr>
        <w:t xml:space="preserve"> </w:t>
      </w:r>
      <w:r w:rsidR="009E1153" w:rsidRPr="004836F6">
        <w:rPr>
          <w:rFonts w:ascii="Bookman Old Style" w:hAnsi="Bookman Old Style"/>
          <w:sz w:val="25"/>
          <w:szCs w:val="25"/>
        </w:rPr>
        <w:t>-inicialmente previsto en el art. 1º de la Ley 1760 de 2015-</w:t>
      </w:r>
      <w:r w:rsidR="007339D0" w:rsidRPr="004836F6">
        <w:rPr>
          <w:rFonts w:ascii="Bookman Old Style" w:hAnsi="Bookman Old Style"/>
          <w:sz w:val="27"/>
          <w:szCs w:val="27"/>
        </w:rPr>
        <w:t xml:space="preserve">, dispone el art. 3º </w:t>
      </w:r>
      <w:r w:rsidR="007339D0" w:rsidRPr="004836F6">
        <w:rPr>
          <w:rFonts w:ascii="Bookman Old Style" w:hAnsi="Bookman Old Style"/>
          <w:i/>
          <w:sz w:val="27"/>
          <w:szCs w:val="27"/>
        </w:rPr>
        <w:t>ídem</w:t>
      </w:r>
      <w:r w:rsidR="007339D0" w:rsidRPr="004836F6">
        <w:rPr>
          <w:rFonts w:ascii="Bookman Old Style" w:hAnsi="Bookman Old Style"/>
          <w:sz w:val="27"/>
          <w:szCs w:val="27"/>
        </w:rPr>
        <w:t xml:space="preserve">, podrá solicitarse ante el juez de control de garantías dentro de los 2 meses anteriores a su vencimiento, </w:t>
      </w:r>
      <w:r w:rsidR="007339D0" w:rsidRPr="004836F6">
        <w:rPr>
          <w:rFonts w:ascii="Bookman Old Style" w:hAnsi="Bookman Old Style"/>
          <w:i/>
          <w:sz w:val="27"/>
          <w:szCs w:val="27"/>
        </w:rPr>
        <w:t xml:space="preserve">incluso desde antes de que dicho artículo entre en vigencia. </w:t>
      </w:r>
    </w:p>
    <w:p w:rsidR="004455C8" w:rsidRPr="004836F6" w:rsidRDefault="004455C8" w:rsidP="00CB7766">
      <w:pPr>
        <w:tabs>
          <w:tab w:val="left" w:pos="709"/>
        </w:tabs>
        <w:spacing w:after="0" w:line="336" w:lineRule="auto"/>
        <w:ind w:right="51"/>
        <w:jc w:val="both"/>
        <w:rPr>
          <w:rFonts w:ascii="Bookman Old Style" w:hAnsi="Bookman Old Style"/>
          <w:i/>
          <w:sz w:val="27"/>
          <w:szCs w:val="27"/>
        </w:rPr>
      </w:pPr>
    </w:p>
    <w:p w:rsidR="004455C8" w:rsidRPr="004836F6" w:rsidRDefault="00F36F0D" w:rsidP="00CB7766">
      <w:pPr>
        <w:tabs>
          <w:tab w:val="left" w:pos="709"/>
        </w:tabs>
        <w:spacing w:after="0" w:line="336" w:lineRule="auto"/>
        <w:ind w:right="51"/>
        <w:jc w:val="both"/>
        <w:rPr>
          <w:rFonts w:ascii="Bookman Old Style" w:hAnsi="Bookman Old Style"/>
          <w:sz w:val="27"/>
          <w:szCs w:val="27"/>
        </w:rPr>
      </w:pPr>
      <w:r w:rsidRPr="004836F6">
        <w:rPr>
          <w:rFonts w:ascii="Bookman Old Style" w:hAnsi="Bookman Old Style"/>
          <w:sz w:val="27"/>
          <w:szCs w:val="27"/>
        </w:rPr>
        <w:lastRenderedPageBreak/>
        <w:tab/>
        <w:t>Indiscutiblemente, la figura del juez de control de garantías es privativa de los procesos penales gobernados por la Ley 906 de 2004. Ello, sin embargo, no implica que la aludida prórroga no resulte aplicable en casos tra</w:t>
      </w:r>
      <w:r w:rsidR="001534F2" w:rsidRPr="004836F6">
        <w:rPr>
          <w:rFonts w:ascii="Bookman Old Style" w:hAnsi="Bookman Old Style"/>
          <w:sz w:val="27"/>
          <w:szCs w:val="27"/>
        </w:rPr>
        <w:t>mitados con la Ley 600 de 2000, pues el plazo razonable es común</w:t>
      </w:r>
      <w:r w:rsidR="00972830" w:rsidRPr="004836F6">
        <w:rPr>
          <w:rFonts w:ascii="Bookman Old Style" w:hAnsi="Bookman Old Style"/>
          <w:sz w:val="27"/>
          <w:szCs w:val="27"/>
        </w:rPr>
        <w:t xml:space="preserve"> a los dos esquemas procesales y no es una figura propia ni connatural a ninguno de ellos. </w:t>
      </w:r>
    </w:p>
    <w:p w:rsidR="00972830" w:rsidRPr="004836F6" w:rsidRDefault="00972830" w:rsidP="00CB7766">
      <w:pPr>
        <w:tabs>
          <w:tab w:val="left" w:pos="709"/>
        </w:tabs>
        <w:spacing w:after="0" w:line="336" w:lineRule="auto"/>
        <w:ind w:right="51"/>
        <w:jc w:val="both"/>
        <w:rPr>
          <w:rFonts w:ascii="Bookman Old Style" w:hAnsi="Bookman Old Style"/>
          <w:sz w:val="27"/>
          <w:szCs w:val="27"/>
        </w:rPr>
      </w:pPr>
    </w:p>
    <w:p w:rsidR="00972830" w:rsidRPr="004836F6" w:rsidRDefault="00972830" w:rsidP="00CB7766">
      <w:pPr>
        <w:tabs>
          <w:tab w:val="left" w:pos="709"/>
        </w:tabs>
        <w:spacing w:after="0" w:line="336" w:lineRule="auto"/>
        <w:ind w:right="51"/>
        <w:jc w:val="both"/>
        <w:rPr>
          <w:rFonts w:ascii="Bookman Old Style" w:hAnsi="Bookman Old Style"/>
          <w:sz w:val="27"/>
          <w:szCs w:val="27"/>
        </w:rPr>
      </w:pPr>
      <w:r w:rsidRPr="004836F6">
        <w:rPr>
          <w:rFonts w:ascii="Bookman Old Style" w:hAnsi="Bookman Old Style"/>
          <w:sz w:val="27"/>
          <w:szCs w:val="27"/>
        </w:rPr>
        <w:tab/>
      </w:r>
      <w:r w:rsidR="005141D4" w:rsidRPr="004836F6">
        <w:rPr>
          <w:rFonts w:ascii="Bookman Old Style" w:hAnsi="Bookman Old Style"/>
          <w:sz w:val="27"/>
          <w:szCs w:val="27"/>
        </w:rPr>
        <w:t xml:space="preserve">La teleología de la extensión o prórroga del término </w:t>
      </w:r>
      <w:r w:rsidR="00836492" w:rsidRPr="004836F6">
        <w:rPr>
          <w:rFonts w:ascii="Bookman Old Style" w:hAnsi="Bookman Old Style"/>
          <w:sz w:val="27"/>
          <w:szCs w:val="27"/>
        </w:rPr>
        <w:t>concierne más a</w:t>
      </w:r>
      <w:r w:rsidR="003E7117" w:rsidRPr="004836F6">
        <w:rPr>
          <w:rFonts w:ascii="Bookman Old Style" w:hAnsi="Bookman Old Style"/>
          <w:sz w:val="27"/>
          <w:szCs w:val="27"/>
        </w:rPr>
        <w:t xml:space="preserve"> razones sustanciales </w:t>
      </w:r>
      <w:r w:rsidR="004B08C4" w:rsidRPr="004836F6">
        <w:rPr>
          <w:rFonts w:ascii="Bookman Old Style" w:hAnsi="Bookman Old Style"/>
          <w:sz w:val="27"/>
          <w:szCs w:val="27"/>
        </w:rPr>
        <w:t>pertenecientes</w:t>
      </w:r>
      <w:r w:rsidR="003E7117" w:rsidRPr="004836F6">
        <w:rPr>
          <w:rFonts w:ascii="Bookman Old Style" w:hAnsi="Bookman Old Style"/>
          <w:sz w:val="27"/>
          <w:szCs w:val="27"/>
        </w:rPr>
        <w:t xml:space="preserve"> al conc</w:t>
      </w:r>
      <w:r w:rsidR="00C101A7" w:rsidRPr="004836F6">
        <w:rPr>
          <w:rFonts w:ascii="Bookman Old Style" w:hAnsi="Bookman Old Style"/>
          <w:sz w:val="27"/>
          <w:szCs w:val="27"/>
        </w:rPr>
        <w:t xml:space="preserve">epto mismo de plazo razonable, </w:t>
      </w:r>
      <w:r w:rsidR="003E7117" w:rsidRPr="004836F6">
        <w:rPr>
          <w:rFonts w:ascii="Bookman Old Style" w:hAnsi="Bookman Old Style"/>
          <w:sz w:val="27"/>
          <w:szCs w:val="27"/>
        </w:rPr>
        <w:t>enraizado en la protección intern</w:t>
      </w:r>
      <w:r w:rsidR="004B08C4" w:rsidRPr="004836F6">
        <w:rPr>
          <w:rFonts w:ascii="Bookman Old Style" w:hAnsi="Bookman Old Style"/>
          <w:sz w:val="27"/>
          <w:szCs w:val="27"/>
        </w:rPr>
        <w:t xml:space="preserve">acional de los derechos humanos, que a motivos de estructura procesal. </w:t>
      </w:r>
      <w:r w:rsidR="00BF3134" w:rsidRPr="004836F6">
        <w:rPr>
          <w:rFonts w:ascii="Bookman Old Style" w:hAnsi="Bookman Old Style"/>
          <w:sz w:val="27"/>
          <w:szCs w:val="27"/>
        </w:rPr>
        <w:t>La justificación de un plazo más extenso para determinados procesos</w:t>
      </w:r>
      <w:r w:rsidR="00BF3134" w:rsidRPr="004836F6">
        <w:rPr>
          <w:rFonts w:ascii="Bookman Old Style" w:hAnsi="Bookman Old Style"/>
          <w:sz w:val="25"/>
          <w:szCs w:val="25"/>
        </w:rPr>
        <w:t xml:space="preserve"> -cuando se surtan ante la justicia penal especializada, sean tres o más los acusados detenidos preventivamente o se trate del juzgamiento de actos de corrupción de los que trata la Ley 1474 de 2011 o cualquiera de las conductas previstas en el Título IV del Libro Segundo del Código Penal-</w:t>
      </w:r>
      <w:r w:rsidR="007B6C0F" w:rsidRPr="004836F6">
        <w:rPr>
          <w:rFonts w:ascii="Bookman Old Style" w:hAnsi="Bookman Old Style"/>
          <w:sz w:val="25"/>
          <w:szCs w:val="25"/>
        </w:rPr>
        <w:t xml:space="preserve"> </w:t>
      </w:r>
      <w:r w:rsidR="00147669" w:rsidRPr="004836F6">
        <w:rPr>
          <w:rFonts w:ascii="Bookman Old Style" w:hAnsi="Bookman Old Style"/>
          <w:sz w:val="27"/>
          <w:szCs w:val="27"/>
        </w:rPr>
        <w:t xml:space="preserve">estriba en </w:t>
      </w:r>
      <w:r w:rsidR="004B08C4" w:rsidRPr="004836F6">
        <w:rPr>
          <w:rFonts w:ascii="Bookman Old Style" w:hAnsi="Bookman Old Style"/>
          <w:sz w:val="27"/>
          <w:szCs w:val="27"/>
        </w:rPr>
        <w:t>motivos</w:t>
      </w:r>
      <w:r w:rsidR="00147669" w:rsidRPr="004836F6">
        <w:rPr>
          <w:rFonts w:ascii="Bookman Old Style" w:hAnsi="Bookman Old Style"/>
          <w:sz w:val="27"/>
          <w:szCs w:val="27"/>
        </w:rPr>
        <w:t xml:space="preserve"> de </w:t>
      </w:r>
      <w:r w:rsidR="00147669" w:rsidRPr="004836F6">
        <w:rPr>
          <w:rFonts w:ascii="Bookman Old Style" w:hAnsi="Bookman Old Style"/>
          <w:i/>
          <w:sz w:val="27"/>
          <w:szCs w:val="27"/>
        </w:rPr>
        <w:t>pol</w:t>
      </w:r>
      <w:r w:rsidR="004B08C4" w:rsidRPr="004836F6">
        <w:rPr>
          <w:rFonts w:ascii="Bookman Old Style" w:hAnsi="Bookman Old Style"/>
          <w:i/>
          <w:sz w:val="27"/>
          <w:szCs w:val="27"/>
        </w:rPr>
        <w:t>ítica criminal</w:t>
      </w:r>
      <w:r w:rsidR="00FB02F5" w:rsidRPr="004836F6">
        <w:rPr>
          <w:rFonts w:ascii="Bookman Old Style" w:hAnsi="Bookman Old Style"/>
          <w:sz w:val="27"/>
          <w:szCs w:val="27"/>
        </w:rPr>
        <w:t xml:space="preserve">. </w:t>
      </w:r>
      <w:r w:rsidR="005B37B4" w:rsidRPr="004836F6">
        <w:rPr>
          <w:rFonts w:ascii="Bookman Old Style" w:hAnsi="Bookman Old Style"/>
          <w:sz w:val="27"/>
          <w:szCs w:val="27"/>
        </w:rPr>
        <w:t xml:space="preserve">Bien por la complejidad </w:t>
      </w:r>
      <w:r w:rsidR="00D23FF2" w:rsidRPr="004836F6">
        <w:rPr>
          <w:rFonts w:ascii="Bookman Old Style" w:hAnsi="Bookman Old Style"/>
          <w:sz w:val="27"/>
          <w:szCs w:val="27"/>
        </w:rPr>
        <w:t xml:space="preserve">en la tramitación del </w:t>
      </w:r>
      <w:r w:rsidR="005B37B4" w:rsidRPr="004836F6">
        <w:rPr>
          <w:rFonts w:ascii="Bookman Old Style" w:hAnsi="Bookman Old Style"/>
          <w:sz w:val="27"/>
          <w:szCs w:val="27"/>
        </w:rPr>
        <w:t>asunto</w:t>
      </w:r>
      <w:r w:rsidR="00FF2478" w:rsidRPr="004836F6">
        <w:rPr>
          <w:rFonts w:ascii="Bookman Old Style" w:hAnsi="Bookman Old Style"/>
          <w:sz w:val="27"/>
          <w:szCs w:val="27"/>
        </w:rPr>
        <w:t xml:space="preserve"> o por el mayor impacto social de determinados delitos, </w:t>
      </w:r>
      <w:r w:rsidR="00EC376A" w:rsidRPr="004836F6">
        <w:rPr>
          <w:rFonts w:ascii="Bookman Old Style" w:hAnsi="Bookman Old Style"/>
          <w:sz w:val="27"/>
          <w:szCs w:val="27"/>
        </w:rPr>
        <w:t xml:space="preserve">según la libertad de configuración del legislador, </w:t>
      </w:r>
      <w:r w:rsidR="002E3F6D" w:rsidRPr="004836F6">
        <w:rPr>
          <w:rFonts w:ascii="Bookman Old Style" w:hAnsi="Bookman Old Style"/>
          <w:sz w:val="27"/>
          <w:szCs w:val="27"/>
        </w:rPr>
        <w:t xml:space="preserve">es legítima una mayor duración del </w:t>
      </w:r>
      <w:r w:rsidR="0019403E" w:rsidRPr="004836F6">
        <w:rPr>
          <w:rFonts w:ascii="Bookman Old Style" w:hAnsi="Bookman Old Style"/>
          <w:sz w:val="27"/>
          <w:szCs w:val="27"/>
        </w:rPr>
        <w:t>t</w:t>
      </w:r>
      <w:r w:rsidR="009D335E" w:rsidRPr="004836F6">
        <w:rPr>
          <w:rFonts w:ascii="Bookman Old Style" w:hAnsi="Bookman Old Style"/>
          <w:sz w:val="27"/>
          <w:szCs w:val="27"/>
        </w:rPr>
        <w:t xml:space="preserve">érmino para </w:t>
      </w:r>
      <w:r w:rsidR="001A0069" w:rsidRPr="004836F6">
        <w:rPr>
          <w:rFonts w:ascii="Bookman Old Style" w:hAnsi="Bookman Old Style"/>
          <w:sz w:val="27"/>
          <w:szCs w:val="27"/>
        </w:rPr>
        <w:t>fallar</w:t>
      </w:r>
      <w:r w:rsidR="009D335E" w:rsidRPr="004836F6">
        <w:rPr>
          <w:rFonts w:ascii="Bookman Old Style" w:hAnsi="Bookman Old Style"/>
          <w:sz w:val="27"/>
          <w:szCs w:val="27"/>
        </w:rPr>
        <w:t xml:space="preserve"> el caso, sin que aplique la liberación del detenido</w:t>
      </w:r>
      <w:r w:rsidR="001A0069" w:rsidRPr="004836F6">
        <w:rPr>
          <w:rFonts w:ascii="Bookman Old Style" w:hAnsi="Bookman Old Style"/>
          <w:sz w:val="27"/>
          <w:szCs w:val="27"/>
        </w:rPr>
        <w:t xml:space="preserve"> antes de ser juzgado.</w:t>
      </w:r>
      <w:r w:rsidR="002A1109" w:rsidRPr="004836F6">
        <w:rPr>
          <w:rFonts w:ascii="Bookman Old Style" w:hAnsi="Bookman Old Style"/>
          <w:sz w:val="27"/>
          <w:szCs w:val="27"/>
        </w:rPr>
        <w:t xml:space="preserve"> Esto, </w:t>
      </w:r>
      <w:proofErr w:type="spellStart"/>
      <w:r w:rsidR="002A1109" w:rsidRPr="004836F6">
        <w:rPr>
          <w:rFonts w:ascii="Bookman Old Style" w:hAnsi="Bookman Old Style"/>
          <w:sz w:val="27"/>
          <w:szCs w:val="27"/>
        </w:rPr>
        <w:t>reitérase</w:t>
      </w:r>
      <w:proofErr w:type="spellEnd"/>
      <w:r w:rsidR="002A1109" w:rsidRPr="004836F6">
        <w:rPr>
          <w:rFonts w:ascii="Bookman Old Style" w:hAnsi="Bookman Old Style"/>
          <w:sz w:val="27"/>
          <w:szCs w:val="27"/>
        </w:rPr>
        <w:t>, sin importar si el proceso se tramita con las reglas previstas en la Ley 600 de 2000 o en la Ley 906 de 2004.</w:t>
      </w:r>
    </w:p>
    <w:p w:rsidR="002A1109" w:rsidRPr="004836F6" w:rsidRDefault="002A1109" w:rsidP="00CB7766">
      <w:pPr>
        <w:tabs>
          <w:tab w:val="left" w:pos="709"/>
        </w:tabs>
        <w:spacing w:after="0" w:line="336" w:lineRule="auto"/>
        <w:ind w:right="51"/>
        <w:jc w:val="both"/>
        <w:rPr>
          <w:rFonts w:ascii="Bookman Old Style" w:hAnsi="Bookman Old Style"/>
          <w:sz w:val="27"/>
          <w:szCs w:val="27"/>
        </w:rPr>
      </w:pPr>
    </w:p>
    <w:p w:rsidR="002A1109" w:rsidRPr="004836F6" w:rsidRDefault="002A1109" w:rsidP="00CB7766">
      <w:pPr>
        <w:tabs>
          <w:tab w:val="left" w:pos="709"/>
        </w:tabs>
        <w:spacing w:after="0" w:line="336" w:lineRule="auto"/>
        <w:ind w:right="51"/>
        <w:jc w:val="both"/>
        <w:rPr>
          <w:rFonts w:ascii="Bookman Old Style" w:hAnsi="Bookman Old Style"/>
          <w:sz w:val="27"/>
          <w:szCs w:val="27"/>
        </w:rPr>
      </w:pPr>
      <w:r w:rsidRPr="004836F6">
        <w:rPr>
          <w:rFonts w:ascii="Bookman Old Style" w:hAnsi="Bookman Old Style"/>
          <w:sz w:val="27"/>
          <w:szCs w:val="27"/>
        </w:rPr>
        <w:tab/>
      </w:r>
      <w:r w:rsidR="00387F45" w:rsidRPr="004836F6">
        <w:rPr>
          <w:rFonts w:ascii="Bookman Old Style" w:hAnsi="Bookman Old Style"/>
          <w:sz w:val="27"/>
          <w:szCs w:val="27"/>
        </w:rPr>
        <w:t xml:space="preserve">Sin embargo, </w:t>
      </w:r>
      <w:r w:rsidR="00055FCF" w:rsidRPr="004836F6">
        <w:rPr>
          <w:rFonts w:ascii="Bookman Old Style" w:hAnsi="Bookman Old Style"/>
          <w:sz w:val="27"/>
          <w:szCs w:val="27"/>
        </w:rPr>
        <w:t xml:space="preserve">a la hora de aplicar </w:t>
      </w:r>
      <w:r w:rsidR="00055FCF" w:rsidRPr="004836F6">
        <w:rPr>
          <w:rFonts w:ascii="Bookman Old Style" w:hAnsi="Bookman Old Style"/>
          <w:i/>
          <w:sz w:val="27"/>
          <w:szCs w:val="27"/>
        </w:rPr>
        <w:t>en concreto</w:t>
      </w:r>
      <w:r w:rsidR="00055FCF" w:rsidRPr="004836F6">
        <w:rPr>
          <w:rFonts w:ascii="Bookman Old Style" w:hAnsi="Bookman Old Style"/>
          <w:sz w:val="27"/>
          <w:szCs w:val="27"/>
        </w:rPr>
        <w:t xml:space="preserve"> la prórroga del término sí han de considerarse circunstancias de </w:t>
      </w:r>
      <w:r w:rsidR="00055FCF" w:rsidRPr="004836F6">
        <w:rPr>
          <w:rFonts w:ascii="Bookman Old Style" w:hAnsi="Bookman Old Style"/>
          <w:i/>
          <w:sz w:val="27"/>
          <w:szCs w:val="27"/>
        </w:rPr>
        <w:t>estructura procedimental</w:t>
      </w:r>
      <w:r w:rsidR="00055FCF" w:rsidRPr="004836F6">
        <w:rPr>
          <w:rFonts w:ascii="Bookman Old Style" w:hAnsi="Bookman Old Style"/>
          <w:sz w:val="27"/>
          <w:szCs w:val="27"/>
        </w:rPr>
        <w:t xml:space="preserve"> que conllevan </w:t>
      </w:r>
      <w:r w:rsidR="00B85D52" w:rsidRPr="004836F6">
        <w:rPr>
          <w:rFonts w:ascii="Bookman Old Style" w:hAnsi="Bookman Old Style"/>
          <w:sz w:val="27"/>
          <w:szCs w:val="27"/>
        </w:rPr>
        <w:t xml:space="preserve">a </w:t>
      </w:r>
      <w:r w:rsidR="00055FCF" w:rsidRPr="004836F6">
        <w:rPr>
          <w:rFonts w:ascii="Bookman Old Style" w:hAnsi="Bookman Old Style"/>
          <w:sz w:val="27"/>
          <w:szCs w:val="27"/>
        </w:rPr>
        <w:t xml:space="preserve">una aplicación diferenciada de la extensión del plazo. </w:t>
      </w:r>
      <w:r w:rsidR="00727FBE" w:rsidRPr="004836F6">
        <w:rPr>
          <w:rFonts w:ascii="Bookman Old Style" w:hAnsi="Bookman Old Style"/>
          <w:sz w:val="27"/>
          <w:szCs w:val="27"/>
        </w:rPr>
        <w:t xml:space="preserve">La inexistencia del juez de control de garantías en el proceso penal regido por la Ley 600 de 2000 no </w:t>
      </w:r>
      <w:r w:rsidR="00727FBE" w:rsidRPr="004836F6">
        <w:rPr>
          <w:rFonts w:ascii="Bookman Old Style" w:hAnsi="Bookman Old Style"/>
          <w:sz w:val="27"/>
          <w:szCs w:val="27"/>
        </w:rPr>
        <w:lastRenderedPageBreak/>
        <w:t xml:space="preserve">es razón sólida para sostener que el término máximo de la detención no se puede prorrogar en casos adelantados bajo tal codificación. No. </w:t>
      </w:r>
      <w:r w:rsidR="00840AB7" w:rsidRPr="004836F6">
        <w:rPr>
          <w:rFonts w:ascii="Bookman Old Style" w:hAnsi="Bookman Old Style"/>
          <w:sz w:val="27"/>
          <w:szCs w:val="27"/>
        </w:rPr>
        <w:t xml:space="preserve">La lectura constitucional de la norma obliga a </w:t>
      </w:r>
      <w:r w:rsidR="00840AB7" w:rsidRPr="004836F6">
        <w:rPr>
          <w:rFonts w:ascii="Bookman Old Style" w:hAnsi="Bookman Old Style"/>
          <w:i/>
          <w:sz w:val="27"/>
          <w:szCs w:val="27"/>
        </w:rPr>
        <w:t>compatibilizar</w:t>
      </w:r>
      <w:r w:rsidR="00840AB7" w:rsidRPr="004836F6">
        <w:rPr>
          <w:rFonts w:ascii="Bookman Old Style" w:hAnsi="Bookman Old Style"/>
          <w:sz w:val="27"/>
          <w:szCs w:val="27"/>
        </w:rPr>
        <w:t xml:space="preserve"> la figura con los principios rectores y las instituciones propias del proceso penal diseñado en la Ley 600 de 2000. </w:t>
      </w:r>
    </w:p>
    <w:p w:rsidR="00F313A6" w:rsidRPr="004836F6" w:rsidRDefault="00F313A6" w:rsidP="00CB7766">
      <w:pPr>
        <w:tabs>
          <w:tab w:val="left" w:pos="709"/>
        </w:tabs>
        <w:spacing w:after="0" w:line="336" w:lineRule="auto"/>
        <w:ind w:right="51"/>
        <w:jc w:val="both"/>
        <w:rPr>
          <w:rFonts w:ascii="Bookman Old Style" w:hAnsi="Bookman Old Style"/>
          <w:sz w:val="27"/>
          <w:szCs w:val="27"/>
        </w:rPr>
      </w:pPr>
    </w:p>
    <w:p w:rsidR="00F313A6" w:rsidRPr="004836F6" w:rsidRDefault="00F313A6" w:rsidP="00CB7766">
      <w:pPr>
        <w:tabs>
          <w:tab w:val="left" w:pos="709"/>
        </w:tabs>
        <w:spacing w:after="0" w:line="336" w:lineRule="auto"/>
        <w:ind w:right="51"/>
        <w:jc w:val="both"/>
        <w:rPr>
          <w:rFonts w:ascii="Bookman Old Style" w:hAnsi="Bookman Old Style"/>
          <w:i/>
          <w:sz w:val="27"/>
          <w:szCs w:val="27"/>
        </w:rPr>
      </w:pPr>
      <w:r w:rsidRPr="004836F6">
        <w:rPr>
          <w:rFonts w:ascii="Bookman Old Style" w:hAnsi="Bookman Old Style"/>
          <w:sz w:val="27"/>
          <w:szCs w:val="27"/>
        </w:rPr>
        <w:tab/>
      </w:r>
      <w:r w:rsidR="00545BFD" w:rsidRPr="004836F6">
        <w:rPr>
          <w:rFonts w:ascii="Bookman Old Style" w:hAnsi="Bookman Old Style"/>
          <w:sz w:val="27"/>
          <w:szCs w:val="27"/>
        </w:rPr>
        <w:t>Desde la perspectiva estructural, la división fundamental entre investigación y juzgamiento en el proceso mixto denota una comprensi</w:t>
      </w:r>
      <w:r w:rsidR="00D70C49" w:rsidRPr="004836F6">
        <w:rPr>
          <w:rFonts w:ascii="Bookman Old Style" w:hAnsi="Bookman Old Style"/>
          <w:sz w:val="27"/>
          <w:szCs w:val="27"/>
        </w:rPr>
        <w:t xml:space="preserve">ón inquisitiva en la primera fase, </w:t>
      </w:r>
      <w:r w:rsidR="003233BE" w:rsidRPr="004836F6">
        <w:rPr>
          <w:rFonts w:ascii="Bookman Old Style" w:hAnsi="Bookman Old Style"/>
          <w:sz w:val="27"/>
          <w:szCs w:val="27"/>
        </w:rPr>
        <w:t xml:space="preserve">en donde el fiscal, por disposición constitucional </w:t>
      </w:r>
      <w:r w:rsidR="00684011" w:rsidRPr="004836F6">
        <w:rPr>
          <w:rFonts w:ascii="Bookman Old Style" w:hAnsi="Bookman Old Style"/>
          <w:sz w:val="27"/>
          <w:szCs w:val="27"/>
        </w:rPr>
        <w:t xml:space="preserve">y legal </w:t>
      </w:r>
      <w:r w:rsidR="003233BE" w:rsidRPr="004836F6">
        <w:rPr>
          <w:rFonts w:ascii="Bookman Old Style" w:hAnsi="Bookman Old Style"/>
          <w:sz w:val="25"/>
          <w:szCs w:val="25"/>
        </w:rPr>
        <w:t>(art</w:t>
      </w:r>
      <w:r w:rsidR="00684011" w:rsidRPr="004836F6">
        <w:rPr>
          <w:rFonts w:ascii="Bookman Old Style" w:hAnsi="Bookman Old Style"/>
          <w:sz w:val="25"/>
          <w:szCs w:val="25"/>
        </w:rPr>
        <w:t>s</w:t>
      </w:r>
      <w:r w:rsidR="003233BE" w:rsidRPr="004836F6">
        <w:rPr>
          <w:rFonts w:ascii="Bookman Old Style" w:hAnsi="Bookman Old Style"/>
          <w:sz w:val="25"/>
          <w:szCs w:val="25"/>
        </w:rPr>
        <w:t>. 250-1 original de la Constitución</w:t>
      </w:r>
      <w:r w:rsidR="00684011" w:rsidRPr="004836F6">
        <w:rPr>
          <w:rFonts w:ascii="Bookman Old Style" w:hAnsi="Bookman Old Style"/>
          <w:sz w:val="25"/>
          <w:szCs w:val="25"/>
        </w:rPr>
        <w:t xml:space="preserve"> y 114-2 de la Ley 600 de 2000</w:t>
      </w:r>
      <w:r w:rsidR="003233BE" w:rsidRPr="004836F6">
        <w:rPr>
          <w:rFonts w:ascii="Bookman Old Style" w:hAnsi="Bookman Old Style"/>
          <w:sz w:val="25"/>
          <w:szCs w:val="25"/>
        </w:rPr>
        <w:t>)</w:t>
      </w:r>
      <w:r w:rsidR="003233BE" w:rsidRPr="004836F6">
        <w:rPr>
          <w:rFonts w:ascii="Bookman Old Style" w:hAnsi="Bookman Old Style"/>
          <w:sz w:val="27"/>
          <w:szCs w:val="27"/>
        </w:rPr>
        <w:t xml:space="preserve"> decide </w:t>
      </w:r>
      <w:r w:rsidR="003233BE" w:rsidRPr="004836F6">
        <w:rPr>
          <w:rFonts w:ascii="Bookman Old Style" w:hAnsi="Bookman Old Style"/>
          <w:i/>
          <w:sz w:val="27"/>
          <w:szCs w:val="27"/>
        </w:rPr>
        <w:t>autónomamente</w:t>
      </w:r>
      <w:r w:rsidR="003233BE" w:rsidRPr="004836F6">
        <w:rPr>
          <w:rFonts w:ascii="Bookman Old Style" w:hAnsi="Bookman Old Style"/>
          <w:sz w:val="27"/>
          <w:szCs w:val="27"/>
        </w:rPr>
        <w:t xml:space="preserve"> sobre la privación provisional de la libertad del sindicado</w:t>
      </w:r>
      <w:r w:rsidR="00684011" w:rsidRPr="004836F6">
        <w:rPr>
          <w:rFonts w:ascii="Bookman Old Style" w:hAnsi="Bookman Old Style"/>
          <w:sz w:val="27"/>
          <w:szCs w:val="27"/>
        </w:rPr>
        <w:t xml:space="preserve">. </w:t>
      </w:r>
      <w:r w:rsidR="00BE413F" w:rsidRPr="004836F6">
        <w:rPr>
          <w:rFonts w:ascii="Bookman Old Style" w:hAnsi="Bookman Old Style"/>
          <w:sz w:val="27"/>
          <w:szCs w:val="27"/>
        </w:rPr>
        <w:t xml:space="preserve">Ahora, si bien el proceso adquiere un matiz acusatorio en el juicio, cuando con la ejecutoria de la resolución de acusación el fiscal se vuelve sujeto procesal y </w:t>
      </w:r>
      <w:r w:rsidR="004247EB" w:rsidRPr="004836F6">
        <w:rPr>
          <w:rFonts w:ascii="Bookman Old Style" w:hAnsi="Bookman Old Style"/>
          <w:sz w:val="27"/>
          <w:szCs w:val="27"/>
        </w:rPr>
        <w:t>defiende la pretensión penal ante el juez de la causa, tambi</w:t>
      </w:r>
      <w:r w:rsidR="0010729E" w:rsidRPr="004836F6">
        <w:rPr>
          <w:rFonts w:ascii="Bookman Old Style" w:hAnsi="Bookman Old Style"/>
          <w:sz w:val="27"/>
          <w:szCs w:val="27"/>
        </w:rPr>
        <w:t xml:space="preserve">én es verdad que, </w:t>
      </w:r>
      <w:r w:rsidR="0031425F" w:rsidRPr="004836F6">
        <w:rPr>
          <w:rFonts w:ascii="Bookman Old Style" w:hAnsi="Bookman Old Style"/>
          <w:sz w:val="27"/>
          <w:szCs w:val="27"/>
        </w:rPr>
        <w:t>como se extracta</w:t>
      </w:r>
      <w:r w:rsidR="0010729E" w:rsidRPr="004836F6">
        <w:rPr>
          <w:rFonts w:ascii="Bookman Old Style" w:hAnsi="Bookman Old Style"/>
          <w:sz w:val="27"/>
          <w:szCs w:val="27"/>
        </w:rPr>
        <w:t xml:space="preserve"> del art. 400 de la Ley 600 de 2000, </w:t>
      </w:r>
      <w:r w:rsidR="000B044E" w:rsidRPr="004836F6">
        <w:rPr>
          <w:rFonts w:ascii="Bookman Old Style" w:hAnsi="Bookman Old Style"/>
          <w:sz w:val="27"/>
          <w:szCs w:val="27"/>
        </w:rPr>
        <w:t xml:space="preserve">el proceso no se torna </w:t>
      </w:r>
      <w:proofErr w:type="spellStart"/>
      <w:r w:rsidR="000B044E" w:rsidRPr="004836F6">
        <w:rPr>
          <w:rFonts w:ascii="Bookman Old Style" w:hAnsi="Bookman Old Style"/>
          <w:sz w:val="27"/>
          <w:szCs w:val="27"/>
        </w:rPr>
        <w:t>adversarial</w:t>
      </w:r>
      <w:proofErr w:type="spellEnd"/>
      <w:r w:rsidR="000B044E" w:rsidRPr="004836F6">
        <w:rPr>
          <w:rFonts w:ascii="Bookman Old Style" w:hAnsi="Bookman Old Style"/>
          <w:sz w:val="27"/>
          <w:szCs w:val="27"/>
        </w:rPr>
        <w:t xml:space="preserve"> en estricto sentido, sino que </w:t>
      </w:r>
      <w:r w:rsidR="005E4ED3" w:rsidRPr="004836F6">
        <w:rPr>
          <w:rFonts w:ascii="Bookman Old Style" w:hAnsi="Bookman Old Style"/>
          <w:sz w:val="27"/>
          <w:szCs w:val="27"/>
        </w:rPr>
        <w:t xml:space="preserve">el impulso de la actuación radica en el juez, bajo el principio de </w:t>
      </w:r>
      <w:r w:rsidR="005E4ED3" w:rsidRPr="004836F6">
        <w:rPr>
          <w:rFonts w:ascii="Bookman Old Style" w:hAnsi="Bookman Old Style"/>
          <w:i/>
          <w:sz w:val="27"/>
          <w:szCs w:val="27"/>
        </w:rPr>
        <w:t xml:space="preserve">oficiosidad. </w:t>
      </w:r>
    </w:p>
    <w:p w:rsidR="00C47509" w:rsidRPr="004836F6" w:rsidRDefault="00C47509" w:rsidP="00CB7766">
      <w:pPr>
        <w:tabs>
          <w:tab w:val="left" w:pos="709"/>
        </w:tabs>
        <w:spacing w:after="0" w:line="336" w:lineRule="auto"/>
        <w:ind w:right="51"/>
        <w:jc w:val="both"/>
        <w:rPr>
          <w:rFonts w:ascii="Bookman Old Style" w:hAnsi="Bookman Old Style"/>
          <w:i/>
          <w:sz w:val="27"/>
          <w:szCs w:val="27"/>
        </w:rPr>
      </w:pPr>
    </w:p>
    <w:p w:rsidR="00C47509" w:rsidRPr="004836F6" w:rsidRDefault="00C47509" w:rsidP="00CB7766">
      <w:pPr>
        <w:tabs>
          <w:tab w:val="left" w:pos="709"/>
        </w:tabs>
        <w:spacing w:after="0" w:line="336" w:lineRule="auto"/>
        <w:ind w:right="51"/>
        <w:jc w:val="both"/>
        <w:rPr>
          <w:rFonts w:ascii="Bookman Old Style" w:hAnsi="Bookman Old Style"/>
          <w:sz w:val="27"/>
          <w:szCs w:val="27"/>
        </w:rPr>
      </w:pPr>
      <w:r w:rsidRPr="004836F6">
        <w:rPr>
          <w:rFonts w:ascii="Bookman Old Style" w:hAnsi="Bookman Old Style"/>
          <w:i/>
          <w:sz w:val="27"/>
          <w:szCs w:val="27"/>
        </w:rPr>
        <w:tab/>
      </w:r>
      <w:r w:rsidRPr="004836F6">
        <w:rPr>
          <w:rFonts w:ascii="Bookman Old Style" w:hAnsi="Bookman Old Style"/>
          <w:sz w:val="27"/>
          <w:szCs w:val="27"/>
        </w:rPr>
        <w:t xml:space="preserve">Ahora bien, </w:t>
      </w:r>
      <w:r w:rsidR="0085120A" w:rsidRPr="004836F6">
        <w:rPr>
          <w:rFonts w:ascii="Bookman Old Style" w:hAnsi="Bookman Old Style"/>
          <w:sz w:val="27"/>
          <w:szCs w:val="27"/>
        </w:rPr>
        <w:t xml:space="preserve">en </w:t>
      </w:r>
      <w:r w:rsidR="0080547F" w:rsidRPr="004836F6">
        <w:rPr>
          <w:rFonts w:ascii="Bookman Old Style" w:hAnsi="Bookman Old Style"/>
          <w:sz w:val="27"/>
          <w:szCs w:val="27"/>
        </w:rPr>
        <w:t>el juez de la causa</w:t>
      </w:r>
      <w:r w:rsidR="008C6245" w:rsidRPr="004836F6">
        <w:rPr>
          <w:rFonts w:ascii="Bookman Old Style" w:hAnsi="Bookman Old Style"/>
          <w:sz w:val="27"/>
          <w:szCs w:val="27"/>
        </w:rPr>
        <w:t>, llamado</w:t>
      </w:r>
      <w:r w:rsidR="0085120A" w:rsidRPr="004836F6">
        <w:rPr>
          <w:rFonts w:ascii="Bookman Old Style" w:hAnsi="Bookman Old Style"/>
          <w:sz w:val="27"/>
          <w:szCs w:val="27"/>
        </w:rPr>
        <w:t xml:space="preserve"> </w:t>
      </w:r>
      <w:r w:rsidR="0085120A" w:rsidRPr="004836F6">
        <w:rPr>
          <w:rFonts w:ascii="Bookman Old Style" w:hAnsi="Bookman Old Style"/>
          <w:i/>
          <w:sz w:val="27"/>
          <w:szCs w:val="27"/>
        </w:rPr>
        <w:t xml:space="preserve">principalmente </w:t>
      </w:r>
      <w:r w:rsidR="008C6245" w:rsidRPr="004836F6">
        <w:rPr>
          <w:rFonts w:ascii="Bookman Old Style" w:hAnsi="Bookman Old Style"/>
          <w:sz w:val="27"/>
          <w:szCs w:val="27"/>
        </w:rPr>
        <w:t>a decidir mediante la sentenc</w:t>
      </w:r>
      <w:r w:rsidR="0085120A" w:rsidRPr="004836F6">
        <w:rPr>
          <w:rFonts w:ascii="Bookman Old Style" w:hAnsi="Bookman Old Style"/>
          <w:sz w:val="27"/>
          <w:szCs w:val="27"/>
        </w:rPr>
        <w:t xml:space="preserve">ia el fondo de la controversia, también están radicadas competencias de control </w:t>
      </w:r>
      <w:r w:rsidR="00CB2714" w:rsidRPr="004836F6">
        <w:rPr>
          <w:rFonts w:ascii="Bookman Old Style" w:hAnsi="Bookman Old Style"/>
          <w:sz w:val="27"/>
          <w:szCs w:val="27"/>
        </w:rPr>
        <w:t xml:space="preserve">del respeto al debido proceso </w:t>
      </w:r>
      <w:r w:rsidR="00CB2714" w:rsidRPr="004836F6">
        <w:rPr>
          <w:rFonts w:ascii="Bookman Old Style" w:hAnsi="Bookman Old Style"/>
          <w:i/>
          <w:sz w:val="27"/>
          <w:szCs w:val="27"/>
        </w:rPr>
        <w:t>cautelar,</w:t>
      </w:r>
      <w:r w:rsidR="00CB2714" w:rsidRPr="004836F6">
        <w:rPr>
          <w:rFonts w:ascii="Bookman Old Style" w:hAnsi="Bookman Old Style"/>
          <w:sz w:val="27"/>
          <w:szCs w:val="27"/>
        </w:rPr>
        <w:t xml:space="preserve"> que rige la privación preventiva de la libertad. </w:t>
      </w:r>
      <w:r w:rsidR="00E9068E" w:rsidRPr="004836F6">
        <w:rPr>
          <w:rFonts w:ascii="Bookman Old Style" w:hAnsi="Bookman Old Style"/>
          <w:sz w:val="27"/>
          <w:szCs w:val="27"/>
        </w:rPr>
        <w:t>Materialmente, es un juez constitucional, cuya</w:t>
      </w:r>
      <w:r w:rsidR="00E9068E" w:rsidRPr="004836F6">
        <w:rPr>
          <w:rFonts w:ascii="Bookman Old Style" w:hAnsi="Bookman Old Style"/>
          <w:i/>
          <w:sz w:val="27"/>
          <w:szCs w:val="27"/>
        </w:rPr>
        <w:t xml:space="preserve"> supervisión</w:t>
      </w:r>
      <w:r w:rsidR="00E9068E" w:rsidRPr="004836F6">
        <w:rPr>
          <w:rFonts w:ascii="Bookman Old Style" w:hAnsi="Bookman Old Style"/>
          <w:sz w:val="27"/>
          <w:szCs w:val="27"/>
        </w:rPr>
        <w:t xml:space="preserve"> sobre el respeto de las formas propias del juicio tocantes con la libertad personal, restringida </w:t>
      </w:r>
      <w:r w:rsidR="00AA0C2D" w:rsidRPr="004836F6">
        <w:rPr>
          <w:rFonts w:ascii="Bookman Old Style" w:hAnsi="Bookman Old Style"/>
          <w:sz w:val="27"/>
          <w:szCs w:val="27"/>
        </w:rPr>
        <w:t>preventiva</w:t>
      </w:r>
      <w:r w:rsidR="00E9068E" w:rsidRPr="004836F6">
        <w:rPr>
          <w:rFonts w:ascii="Bookman Old Style" w:hAnsi="Bookman Old Style"/>
          <w:sz w:val="27"/>
          <w:szCs w:val="27"/>
        </w:rPr>
        <w:t xml:space="preserve">mente, </w:t>
      </w:r>
      <w:r w:rsidR="002F6B8F" w:rsidRPr="004836F6">
        <w:rPr>
          <w:rFonts w:ascii="Bookman Old Style" w:hAnsi="Bookman Old Style"/>
          <w:sz w:val="27"/>
          <w:szCs w:val="27"/>
        </w:rPr>
        <w:t xml:space="preserve">puede manifestarse a través de dos figuras: por una parte, el control </w:t>
      </w:r>
      <w:r w:rsidR="002F6B8F" w:rsidRPr="004836F6">
        <w:rPr>
          <w:rFonts w:ascii="Bookman Old Style" w:hAnsi="Bookman Old Style"/>
          <w:sz w:val="24"/>
          <w:szCs w:val="24"/>
        </w:rPr>
        <w:t>-rogado-</w:t>
      </w:r>
      <w:r w:rsidR="00E9068E" w:rsidRPr="004836F6">
        <w:rPr>
          <w:rFonts w:ascii="Bookman Old Style" w:hAnsi="Bookman Old Style"/>
          <w:sz w:val="24"/>
          <w:szCs w:val="24"/>
        </w:rPr>
        <w:t xml:space="preserve"> </w:t>
      </w:r>
      <w:r w:rsidR="002F6B8F" w:rsidRPr="004836F6">
        <w:rPr>
          <w:rFonts w:ascii="Bookman Old Style" w:hAnsi="Bookman Old Style"/>
          <w:sz w:val="27"/>
          <w:szCs w:val="27"/>
        </w:rPr>
        <w:t xml:space="preserve">de legalidad de la medida de aseguramiento, </w:t>
      </w:r>
      <w:r w:rsidR="002F6B8F" w:rsidRPr="004836F6">
        <w:rPr>
          <w:rFonts w:ascii="Bookman Old Style" w:hAnsi="Bookman Old Style"/>
          <w:sz w:val="27"/>
          <w:szCs w:val="27"/>
        </w:rPr>
        <w:lastRenderedPageBreak/>
        <w:t xml:space="preserve">que atañe a la subsistencia de los fundamentos </w:t>
      </w:r>
      <w:r w:rsidR="002F6B8F" w:rsidRPr="004836F6">
        <w:rPr>
          <w:rFonts w:ascii="Bookman Old Style" w:hAnsi="Bookman Old Style"/>
          <w:i/>
          <w:sz w:val="27"/>
          <w:szCs w:val="27"/>
        </w:rPr>
        <w:t>materiales</w:t>
      </w:r>
      <w:r w:rsidR="002F6B8F" w:rsidRPr="004836F6">
        <w:rPr>
          <w:rFonts w:ascii="Bookman Old Style" w:hAnsi="Bookman Old Style"/>
          <w:sz w:val="27"/>
          <w:szCs w:val="27"/>
        </w:rPr>
        <w:t xml:space="preserve"> </w:t>
      </w:r>
      <w:r w:rsidR="00A51CCC" w:rsidRPr="004836F6">
        <w:rPr>
          <w:rFonts w:ascii="Bookman Old Style" w:hAnsi="Bookman Old Style"/>
          <w:sz w:val="27"/>
          <w:szCs w:val="27"/>
        </w:rPr>
        <w:t xml:space="preserve">y de las finalidades </w:t>
      </w:r>
      <w:r w:rsidR="002F6B8F" w:rsidRPr="004836F6">
        <w:rPr>
          <w:rFonts w:ascii="Bookman Old Style" w:hAnsi="Bookman Old Style"/>
          <w:sz w:val="27"/>
          <w:szCs w:val="27"/>
        </w:rPr>
        <w:t xml:space="preserve">para detener (art. 392 de la Ley 600 de 2000); por otra, </w:t>
      </w:r>
      <w:r w:rsidR="00A51CCC" w:rsidRPr="004836F6">
        <w:rPr>
          <w:rFonts w:ascii="Bookman Old Style" w:hAnsi="Bookman Old Style"/>
          <w:sz w:val="27"/>
          <w:szCs w:val="27"/>
        </w:rPr>
        <w:t xml:space="preserve">la verificación </w:t>
      </w:r>
      <w:r w:rsidR="00A51CCC" w:rsidRPr="004836F6">
        <w:rPr>
          <w:rFonts w:ascii="Bookman Old Style" w:hAnsi="Bookman Old Style"/>
          <w:i/>
          <w:sz w:val="27"/>
          <w:szCs w:val="27"/>
        </w:rPr>
        <w:t xml:space="preserve">oficiosa </w:t>
      </w:r>
      <w:r w:rsidR="009D324A" w:rsidRPr="004836F6">
        <w:rPr>
          <w:rFonts w:ascii="Bookman Old Style" w:hAnsi="Bookman Old Style"/>
          <w:sz w:val="27"/>
          <w:szCs w:val="27"/>
        </w:rPr>
        <w:t xml:space="preserve">de las circunstancias que dan lugar a la libertad provisional por vencimiento de términos (art. </w:t>
      </w:r>
      <w:r w:rsidR="001E23FC" w:rsidRPr="004836F6">
        <w:rPr>
          <w:rFonts w:ascii="Bookman Old Style" w:hAnsi="Bookman Old Style"/>
          <w:sz w:val="27"/>
          <w:szCs w:val="27"/>
        </w:rPr>
        <w:t xml:space="preserve">365 </w:t>
      </w:r>
      <w:r w:rsidR="009D324A" w:rsidRPr="004836F6">
        <w:rPr>
          <w:rFonts w:ascii="Bookman Old Style" w:hAnsi="Bookman Old Style"/>
          <w:i/>
          <w:sz w:val="27"/>
          <w:szCs w:val="27"/>
        </w:rPr>
        <w:t>ídem</w:t>
      </w:r>
      <w:r w:rsidR="009D324A" w:rsidRPr="004836F6">
        <w:rPr>
          <w:rFonts w:ascii="Bookman Old Style" w:hAnsi="Bookman Old Style"/>
          <w:sz w:val="27"/>
          <w:szCs w:val="27"/>
        </w:rPr>
        <w:t xml:space="preserve">). </w:t>
      </w:r>
    </w:p>
    <w:p w:rsidR="009D324A" w:rsidRPr="004836F6" w:rsidRDefault="009D324A" w:rsidP="00CB7766">
      <w:pPr>
        <w:tabs>
          <w:tab w:val="left" w:pos="709"/>
        </w:tabs>
        <w:spacing w:after="0" w:line="336" w:lineRule="auto"/>
        <w:ind w:right="51"/>
        <w:jc w:val="both"/>
        <w:rPr>
          <w:rFonts w:ascii="Bookman Old Style" w:hAnsi="Bookman Old Style"/>
          <w:sz w:val="27"/>
          <w:szCs w:val="27"/>
        </w:rPr>
      </w:pPr>
    </w:p>
    <w:p w:rsidR="0093760D" w:rsidRPr="004836F6" w:rsidRDefault="009D324A" w:rsidP="00CB7766">
      <w:pPr>
        <w:tabs>
          <w:tab w:val="left" w:pos="709"/>
        </w:tabs>
        <w:spacing w:after="0" w:line="336" w:lineRule="auto"/>
        <w:ind w:right="51"/>
        <w:jc w:val="both"/>
        <w:rPr>
          <w:rFonts w:ascii="Bookman Old Style" w:hAnsi="Bookman Old Style"/>
          <w:sz w:val="27"/>
          <w:szCs w:val="27"/>
        </w:rPr>
      </w:pPr>
      <w:r w:rsidRPr="004836F6">
        <w:rPr>
          <w:rFonts w:ascii="Bookman Old Style" w:hAnsi="Bookman Old Style"/>
          <w:sz w:val="27"/>
          <w:szCs w:val="27"/>
        </w:rPr>
        <w:tab/>
      </w:r>
      <w:r w:rsidR="00B05B10" w:rsidRPr="004836F6">
        <w:rPr>
          <w:rFonts w:ascii="Bookman Old Style" w:hAnsi="Bookman Old Style"/>
          <w:sz w:val="27"/>
          <w:szCs w:val="27"/>
        </w:rPr>
        <w:t xml:space="preserve">Esta última constelación, valga resaltar, es una faceta de concreción del </w:t>
      </w:r>
      <w:r w:rsidR="00FF6EDF" w:rsidRPr="004836F6">
        <w:rPr>
          <w:rFonts w:ascii="Bookman Old Style" w:hAnsi="Bookman Old Style"/>
          <w:sz w:val="27"/>
          <w:szCs w:val="27"/>
        </w:rPr>
        <w:t>derecho fundamental a ser juzgad</w:t>
      </w:r>
      <w:r w:rsidR="001E23FC" w:rsidRPr="004836F6">
        <w:rPr>
          <w:rFonts w:ascii="Bookman Old Style" w:hAnsi="Bookman Old Style"/>
          <w:sz w:val="27"/>
          <w:szCs w:val="27"/>
        </w:rPr>
        <w:t xml:space="preserve">o dentro de un plazo razonable, que opera a través de la configuración de términos específicos aplicables según la fase procesal. </w:t>
      </w:r>
      <w:r w:rsidR="00BE1D82" w:rsidRPr="004836F6">
        <w:rPr>
          <w:rFonts w:ascii="Bookman Old Style" w:hAnsi="Bookman Old Style"/>
          <w:sz w:val="27"/>
          <w:szCs w:val="27"/>
        </w:rPr>
        <w:t xml:space="preserve">Pero como se expuso con antelación, </w:t>
      </w:r>
      <w:r w:rsidR="00CE065B" w:rsidRPr="004836F6">
        <w:rPr>
          <w:rFonts w:ascii="Bookman Old Style" w:hAnsi="Bookman Old Style"/>
          <w:sz w:val="27"/>
          <w:szCs w:val="27"/>
        </w:rPr>
        <w:t xml:space="preserve">en ejercicio de su margen de apreciación, el legislador adicionó términos </w:t>
      </w:r>
      <w:r w:rsidR="00CE065B" w:rsidRPr="004836F6">
        <w:rPr>
          <w:rFonts w:ascii="Bookman Old Style" w:hAnsi="Bookman Old Style"/>
          <w:i/>
          <w:sz w:val="27"/>
          <w:szCs w:val="27"/>
        </w:rPr>
        <w:t>genéricos</w:t>
      </w:r>
      <w:r w:rsidR="00CE065B" w:rsidRPr="004836F6">
        <w:rPr>
          <w:rFonts w:ascii="Bookman Old Style" w:hAnsi="Bookman Old Style"/>
          <w:sz w:val="27"/>
          <w:szCs w:val="27"/>
        </w:rPr>
        <w:t xml:space="preserve"> máximos de duración de la detención,</w:t>
      </w:r>
      <w:r w:rsidR="00C83EB4" w:rsidRPr="004836F6">
        <w:rPr>
          <w:rFonts w:ascii="Bookman Old Style" w:hAnsi="Bookman Old Style"/>
          <w:sz w:val="27"/>
          <w:szCs w:val="27"/>
        </w:rPr>
        <w:t xml:space="preserve"> al margen de etapas procesales </w:t>
      </w:r>
      <w:r w:rsidR="00C83EB4" w:rsidRPr="004836F6">
        <w:rPr>
          <w:rFonts w:ascii="Bookman Old Style" w:hAnsi="Bookman Old Style"/>
          <w:sz w:val="24"/>
          <w:szCs w:val="24"/>
        </w:rPr>
        <w:t xml:space="preserve">(cfr. </w:t>
      </w:r>
      <w:proofErr w:type="spellStart"/>
      <w:r w:rsidR="00C83EB4" w:rsidRPr="004836F6">
        <w:rPr>
          <w:rFonts w:ascii="Bookman Old Style" w:hAnsi="Bookman Old Style"/>
          <w:sz w:val="24"/>
          <w:szCs w:val="24"/>
        </w:rPr>
        <w:t>num</w:t>
      </w:r>
      <w:proofErr w:type="spellEnd"/>
      <w:r w:rsidR="00C83EB4" w:rsidRPr="004836F6">
        <w:rPr>
          <w:rFonts w:ascii="Bookman Old Style" w:hAnsi="Bookman Old Style"/>
          <w:sz w:val="24"/>
          <w:szCs w:val="24"/>
        </w:rPr>
        <w:t xml:space="preserve">. 2.3.2 </w:t>
      </w:r>
      <w:r w:rsidR="00C83EB4" w:rsidRPr="004836F6">
        <w:rPr>
          <w:rFonts w:ascii="Bookman Old Style" w:hAnsi="Bookman Old Style"/>
          <w:i/>
          <w:sz w:val="24"/>
          <w:szCs w:val="24"/>
        </w:rPr>
        <w:t>supra</w:t>
      </w:r>
      <w:r w:rsidR="00C83EB4" w:rsidRPr="004836F6">
        <w:rPr>
          <w:rFonts w:ascii="Bookman Old Style" w:hAnsi="Bookman Old Style"/>
          <w:sz w:val="24"/>
          <w:szCs w:val="24"/>
        </w:rPr>
        <w:t>).</w:t>
      </w:r>
      <w:r w:rsidR="00646AC8" w:rsidRPr="004836F6">
        <w:rPr>
          <w:rFonts w:ascii="Bookman Old Style" w:hAnsi="Bookman Old Style"/>
          <w:sz w:val="27"/>
          <w:szCs w:val="27"/>
        </w:rPr>
        <w:t xml:space="preserve"> Entonces, </w:t>
      </w:r>
      <w:r w:rsidR="004409CE" w:rsidRPr="004836F6">
        <w:rPr>
          <w:rFonts w:ascii="Bookman Old Style" w:hAnsi="Bookman Old Style"/>
          <w:sz w:val="27"/>
          <w:szCs w:val="27"/>
        </w:rPr>
        <w:t xml:space="preserve">si </w:t>
      </w:r>
      <w:r w:rsidR="00237FC2" w:rsidRPr="004836F6">
        <w:rPr>
          <w:rFonts w:ascii="Bookman Old Style" w:hAnsi="Bookman Old Style"/>
          <w:sz w:val="27"/>
          <w:szCs w:val="27"/>
        </w:rPr>
        <w:t xml:space="preserve">en el régimen de la Ley 600 de 2000 </w:t>
      </w:r>
      <w:r w:rsidR="00646AC8" w:rsidRPr="004836F6">
        <w:rPr>
          <w:rFonts w:ascii="Bookman Old Style" w:hAnsi="Bookman Old Style"/>
          <w:sz w:val="27"/>
          <w:szCs w:val="27"/>
        </w:rPr>
        <w:t xml:space="preserve">la verificación de los términos </w:t>
      </w:r>
      <w:r w:rsidR="00646AC8" w:rsidRPr="004836F6">
        <w:rPr>
          <w:rFonts w:ascii="Bookman Old Style" w:hAnsi="Bookman Old Style"/>
          <w:i/>
          <w:sz w:val="27"/>
          <w:szCs w:val="27"/>
        </w:rPr>
        <w:t>específicos</w:t>
      </w:r>
      <w:r w:rsidR="00646AC8" w:rsidRPr="004836F6">
        <w:rPr>
          <w:rFonts w:ascii="Bookman Old Style" w:hAnsi="Bookman Old Style"/>
          <w:sz w:val="27"/>
          <w:szCs w:val="27"/>
        </w:rPr>
        <w:t xml:space="preserve"> que podrían dar lugar a libertad por vencimiento de términos </w:t>
      </w:r>
      <w:r w:rsidR="008F3445" w:rsidRPr="004836F6">
        <w:rPr>
          <w:rFonts w:ascii="Bookman Old Style" w:hAnsi="Bookman Old Style"/>
          <w:sz w:val="27"/>
          <w:szCs w:val="27"/>
        </w:rPr>
        <w:t xml:space="preserve">ha de operar </w:t>
      </w:r>
      <w:r w:rsidR="008F3445" w:rsidRPr="004836F6">
        <w:rPr>
          <w:rFonts w:ascii="Bookman Old Style" w:hAnsi="Bookman Old Style"/>
          <w:i/>
          <w:sz w:val="27"/>
          <w:szCs w:val="27"/>
        </w:rPr>
        <w:t xml:space="preserve">oficiosamente, </w:t>
      </w:r>
      <w:r w:rsidR="008F3445" w:rsidRPr="004836F6">
        <w:rPr>
          <w:rFonts w:ascii="Bookman Old Style" w:hAnsi="Bookman Old Style"/>
          <w:sz w:val="27"/>
          <w:szCs w:val="27"/>
        </w:rPr>
        <w:t xml:space="preserve">de igual manera, el funcionario judicial </w:t>
      </w:r>
      <w:r w:rsidR="008F3445" w:rsidRPr="004836F6">
        <w:rPr>
          <w:rFonts w:ascii="Bookman Old Style" w:hAnsi="Bookman Old Style"/>
          <w:sz w:val="24"/>
          <w:szCs w:val="24"/>
        </w:rPr>
        <w:t>-tanto fiscal como juez-</w:t>
      </w:r>
      <w:r w:rsidR="008F3445" w:rsidRPr="004836F6">
        <w:rPr>
          <w:rFonts w:ascii="Bookman Old Style" w:hAnsi="Bookman Old Style"/>
          <w:sz w:val="27"/>
          <w:szCs w:val="27"/>
        </w:rPr>
        <w:t xml:space="preserve"> </w:t>
      </w:r>
      <w:r w:rsidR="00F36A68" w:rsidRPr="004836F6">
        <w:rPr>
          <w:rFonts w:ascii="Bookman Old Style" w:hAnsi="Bookman Old Style"/>
          <w:i/>
          <w:sz w:val="27"/>
          <w:szCs w:val="27"/>
        </w:rPr>
        <w:t xml:space="preserve">debe supervisar ex oficio </w:t>
      </w:r>
      <w:r w:rsidR="00F36A68" w:rsidRPr="004836F6">
        <w:rPr>
          <w:rFonts w:ascii="Bookman Old Style" w:hAnsi="Bookman Old Style"/>
          <w:sz w:val="27"/>
          <w:szCs w:val="27"/>
        </w:rPr>
        <w:t>el cumplimiento del plazo máximo razonable</w:t>
      </w:r>
      <w:r w:rsidR="006B6325" w:rsidRPr="004836F6">
        <w:rPr>
          <w:rFonts w:ascii="Bookman Old Style" w:hAnsi="Bookman Old Style"/>
          <w:sz w:val="27"/>
          <w:szCs w:val="27"/>
        </w:rPr>
        <w:t xml:space="preserve"> </w:t>
      </w:r>
      <w:r w:rsidR="006B6325" w:rsidRPr="004836F6">
        <w:rPr>
          <w:rFonts w:ascii="Bookman Old Style" w:hAnsi="Bookman Old Style"/>
          <w:sz w:val="25"/>
          <w:szCs w:val="25"/>
        </w:rPr>
        <w:t>-genérico-</w:t>
      </w:r>
      <w:r w:rsidR="00F36A68" w:rsidRPr="004836F6">
        <w:rPr>
          <w:rFonts w:ascii="Bookman Old Style" w:hAnsi="Bookman Old Style"/>
          <w:sz w:val="27"/>
          <w:szCs w:val="27"/>
        </w:rPr>
        <w:t xml:space="preserve"> previsto por el legislador, para </w:t>
      </w:r>
      <w:r w:rsidR="006B6325" w:rsidRPr="004836F6">
        <w:rPr>
          <w:rFonts w:ascii="Bookman Old Style" w:hAnsi="Bookman Old Style"/>
          <w:sz w:val="27"/>
          <w:szCs w:val="27"/>
        </w:rPr>
        <w:t xml:space="preserve">procesar penalmente con privación provisional de la libertad. </w:t>
      </w:r>
    </w:p>
    <w:p w:rsidR="006B6325" w:rsidRPr="004836F6" w:rsidRDefault="006B6325" w:rsidP="00CB7766">
      <w:pPr>
        <w:tabs>
          <w:tab w:val="left" w:pos="709"/>
        </w:tabs>
        <w:spacing w:after="0" w:line="336" w:lineRule="auto"/>
        <w:ind w:right="51"/>
        <w:jc w:val="both"/>
        <w:rPr>
          <w:rFonts w:ascii="Bookman Old Style" w:hAnsi="Bookman Old Style"/>
          <w:sz w:val="27"/>
          <w:szCs w:val="27"/>
        </w:rPr>
      </w:pPr>
    </w:p>
    <w:p w:rsidR="00863990" w:rsidRPr="004836F6" w:rsidRDefault="006B6325" w:rsidP="00CB7766">
      <w:pPr>
        <w:tabs>
          <w:tab w:val="left" w:pos="709"/>
        </w:tabs>
        <w:spacing w:after="0" w:line="336" w:lineRule="auto"/>
        <w:ind w:right="51"/>
        <w:jc w:val="both"/>
        <w:rPr>
          <w:rFonts w:ascii="Bookman Old Style" w:hAnsi="Bookman Old Style"/>
          <w:sz w:val="27"/>
          <w:szCs w:val="27"/>
        </w:rPr>
      </w:pPr>
      <w:r w:rsidRPr="004836F6">
        <w:rPr>
          <w:rFonts w:ascii="Bookman Old Style" w:hAnsi="Bookman Old Style"/>
          <w:sz w:val="27"/>
          <w:szCs w:val="27"/>
        </w:rPr>
        <w:tab/>
      </w:r>
      <w:r w:rsidR="0092021B" w:rsidRPr="004836F6">
        <w:rPr>
          <w:rFonts w:ascii="Bookman Old Style" w:hAnsi="Bookman Old Style"/>
          <w:sz w:val="27"/>
          <w:szCs w:val="27"/>
        </w:rPr>
        <w:t xml:space="preserve">Naturalmente, si el proceso se encuentra en la fase de investigación, el competente para pronunciarse al respecto será el fiscal </w:t>
      </w:r>
      <w:r w:rsidR="0092021B" w:rsidRPr="004836F6">
        <w:rPr>
          <w:rFonts w:ascii="Bookman Old Style" w:hAnsi="Bookman Old Style"/>
          <w:sz w:val="25"/>
          <w:szCs w:val="25"/>
        </w:rPr>
        <w:t>(arts. 114-2 y 363 de la Ley 600 de 2000)</w:t>
      </w:r>
      <w:r w:rsidR="0092021B" w:rsidRPr="004836F6">
        <w:rPr>
          <w:rFonts w:ascii="Bookman Old Style" w:hAnsi="Bookman Old Style"/>
          <w:sz w:val="27"/>
          <w:szCs w:val="27"/>
        </w:rPr>
        <w:t xml:space="preserve">. Si con la ejecutoria de la acusación adquiere competencia el juez de la causa (art. 400 </w:t>
      </w:r>
      <w:r w:rsidR="0092021B" w:rsidRPr="004836F6">
        <w:rPr>
          <w:rFonts w:ascii="Bookman Old Style" w:hAnsi="Bookman Old Style"/>
          <w:i/>
          <w:sz w:val="27"/>
          <w:szCs w:val="27"/>
        </w:rPr>
        <w:t>ídem</w:t>
      </w:r>
      <w:r w:rsidR="0092021B" w:rsidRPr="004836F6">
        <w:rPr>
          <w:rFonts w:ascii="Bookman Old Style" w:hAnsi="Bookman Old Style"/>
          <w:sz w:val="27"/>
          <w:szCs w:val="27"/>
        </w:rPr>
        <w:t xml:space="preserve">), éste </w:t>
      </w:r>
      <w:r w:rsidR="0001237C" w:rsidRPr="004836F6">
        <w:rPr>
          <w:rFonts w:ascii="Bookman Old Style" w:hAnsi="Bookman Old Style"/>
          <w:sz w:val="27"/>
          <w:szCs w:val="27"/>
        </w:rPr>
        <w:t xml:space="preserve">será </w:t>
      </w:r>
      <w:r w:rsidR="0092021B" w:rsidRPr="004836F6">
        <w:rPr>
          <w:rFonts w:ascii="Bookman Old Style" w:hAnsi="Bookman Old Style"/>
          <w:sz w:val="27"/>
          <w:szCs w:val="27"/>
        </w:rPr>
        <w:t xml:space="preserve">el encargado de vigilar la observancia de los </w:t>
      </w:r>
      <w:proofErr w:type="spellStart"/>
      <w:r w:rsidR="0092021B" w:rsidRPr="004836F6">
        <w:rPr>
          <w:rFonts w:ascii="Bookman Old Style" w:hAnsi="Bookman Old Style"/>
          <w:sz w:val="27"/>
          <w:szCs w:val="27"/>
        </w:rPr>
        <w:t>plurimencionados</w:t>
      </w:r>
      <w:proofErr w:type="spellEnd"/>
      <w:r w:rsidR="0092021B" w:rsidRPr="004836F6">
        <w:rPr>
          <w:rFonts w:ascii="Bookman Old Style" w:hAnsi="Bookman Old Style"/>
          <w:sz w:val="27"/>
          <w:szCs w:val="27"/>
        </w:rPr>
        <w:t xml:space="preserve"> plazos legales. </w:t>
      </w:r>
      <w:r w:rsidR="00134FA6" w:rsidRPr="004836F6">
        <w:rPr>
          <w:rFonts w:ascii="Bookman Old Style" w:hAnsi="Bookman Old Style"/>
          <w:sz w:val="27"/>
          <w:szCs w:val="27"/>
        </w:rPr>
        <w:t xml:space="preserve">Por consiguiente, contrario a lo alegado por el actor, </w:t>
      </w:r>
      <w:r w:rsidR="00863990" w:rsidRPr="004836F6">
        <w:rPr>
          <w:rFonts w:ascii="Bookman Old Style" w:hAnsi="Bookman Old Style"/>
          <w:sz w:val="27"/>
          <w:szCs w:val="27"/>
        </w:rPr>
        <w:t>ambos funcionarios, más que estar</w:t>
      </w:r>
      <w:r w:rsidR="00863990" w:rsidRPr="004836F6">
        <w:rPr>
          <w:rFonts w:ascii="Bookman Old Style" w:hAnsi="Bookman Old Style"/>
          <w:i/>
          <w:sz w:val="27"/>
          <w:szCs w:val="27"/>
        </w:rPr>
        <w:t xml:space="preserve"> facultados </w:t>
      </w:r>
      <w:r w:rsidR="00863990" w:rsidRPr="004836F6">
        <w:rPr>
          <w:rFonts w:ascii="Bookman Old Style" w:hAnsi="Bookman Old Style"/>
          <w:sz w:val="27"/>
          <w:szCs w:val="27"/>
        </w:rPr>
        <w:t xml:space="preserve">para decretar la prórroga, están </w:t>
      </w:r>
      <w:r w:rsidR="00863990" w:rsidRPr="004836F6">
        <w:rPr>
          <w:rFonts w:ascii="Bookman Old Style" w:hAnsi="Bookman Old Style"/>
          <w:i/>
          <w:sz w:val="27"/>
          <w:szCs w:val="27"/>
        </w:rPr>
        <w:t>obligados</w:t>
      </w:r>
      <w:r w:rsidR="00863990" w:rsidRPr="004836F6">
        <w:rPr>
          <w:rFonts w:ascii="Bookman Old Style" w:hAnsi="Bookman Old Style"/>
          <w:sz w:val="27"/>
          <w:szCs w:val="27"/>
        </w:rPr>
        <w:t xml:space="preserve"> a hacerlo </w:t>
      </w:r>
      <w:r w:rsidR="00A846EA" w:rsidRPr="004836F6">
        <w:rPr>
          <w:rFonts w:ascii="Bookman Old Style" w:hAnsi="Bookman Old Style"/>
          <w:sz w:val="27"/>
          <w:szCs w:val="27"/>
        </w:rPr>
        <w:t xml:space="preserve">si la actuación se </w:t>
      </w:r>
      <w:r w:rsidR="00A846EA" w:rsidRPr="004836F6">
        <w:rPr>
          <w:rFonts w:ascii="Bookman Old Style" w:hAnsi="Bookman Old Style"/>
          <w:sz w:val="27"/>
          <w:szCs w:val="27"/>
        </w:rPr>
        <w:lastRenderedPageBreak/>
        <w:t>encuentra bajo su ámbito de competencia y pretenden proseguir la investigación o el juzgamiento, respectivamente, con privación provisional de la libertad.</w:t>
      </w:r>
      <w:r w:rsidR="00F81FED" w:rsidRPr="004836F6">
        <w:rPr>
          <w:rFonts w:ascii="Bookman Old Style" w:hAnsi="Bookman Old Style"/>
          <w:sz w:val="27"/>
          <w:szCs w:val="27"/>
        </w:rPr>
        <w:t xml:space="preserve"> </w:t>
      </w:r>
    </w:p>
    <w:p w:rsidR="00C761A6" w:rsidRPr="004836F6" w:rsidRDefault="00C761A6" w:rsidP="00CB7766">
      <w:pPr>
        <w:tabs>
          <w:tab w:val="left" w:pos="709"/>
        </w:tabs>
        <w:spacing w:after="0" w:line="336" w:lineRule="auto"/>
        <w:ind w:right="51"/>
        <w:jc w:val="both"/>
        <w:rPr>
          <w:rFonts w:ascii="Bookman Old Style" w:hAnsi="Bookman Old Style"/>
          <w:sz w:val="27"/>
          <w:szCs w:val="27"/>
        </w:rPr>
      </w:pPr>
    </w:p>
    <w:p w:rsidR="00C761A6" w:rsidRPr="004836F6" w:rsidRDefault="00C761A6" w:rsidP="00CB7766">
      <w:pPr>
        <w:tabs>
          <w:tab w:val="left" w:pos="709"/>
        </w:tabs>
        <w:spacing w:after="0" w:line="336" w:lineRule="auto"/>
        <w:ind w:right="51"/>
        <w:jc w:val="both"/>
        <w:rPr>
          <w:rFonts w:ascii="Bookman Old Style" w:hAnsi="Bookman Old Style"/>
          <w:b/>
          <w:sz w:val="27"/>
          <w:szCs w:val="27"/>
        </w:rPr>
      </w:pPr>
      <w:r w:rsidRPr="004836F6">
        <w:rPr>
          <w:rFonts w:ascii="Bookman Old Style" w:hAnsi="Bookman Old Style"/>
          <w:sz w:val="27"/>
          <w:szCs w:val="27"/>
        </w:rPr>
        <w:tab/>
      </w:r>
      <w:r w:rsidR="008364AD" w:rsidRPr="004836F6">
        <w:rPr>
          <w:rFonts w:ascii="Bookman Old Style" w:eastAsia="WarnockPro-Regular" w:hAnsi="Bookman Old Style" w:cs="WarnockPro-Regular"/>
          <w:b/>
          <w:sz w:val="27"/>
          <w:szCs w:val="27"/>
        </w:rPr>
        <w:t xml:space="preserve">2.4.2 </w:t>
      </w:r>
      <w:r w:rsidRPr="004836F6">
        <w:rPr>
          <w:rFonts w:ascii="Bookman Old Style" w:hAnsi="Bookman Old Style"/>
          <w:b/>
          <w:sz w:val="27"/>
          <w:szCs w:val="27"/>
        </w:rPr>
        <w:t>Criterios para la extensi</w:t>
      </w:r>
      <w:r w:rsidR="006D30CF" w:rsidRPr="004836F6">
        <w:rPr>
          <w:rFonts w:ascii="Bookman Old Style" w:hAnsi="Bookman Old Style"/>
          <w:b/>
          <w:sz w:val="27"/>
          <w:szCs w:val="27"/>
        </w:rPr>
        <w:t>ón del plazo máximo de vigencia de la detención preventiva</w:t>
      </w:r>
    </w:p>
    <w:p w:rsidR="006D30CF" w:rsidRPr="004836F6" w:rsidRDefault="006D30CF" w:rsidP="00CB7766">
      <w:pPr>
        <w:tabs>
          <w:tab w:val="left" w:pos="709"/>
        </w:tabs>
        <w:spacing w:after="0" w:line="336" w:lineRule="auto"/>
        <w:ind w:right="51"/>
        <w:jc w:val="both"/>
        <w:rPr>
          <w:rFonts w:ascii="Bookman Old Style" w:hAnsi="Bookman Old Style"/>
          <w:sz w:val="27"/>
          <w:szCs w:val="27"/>
        </w:rPr>
      </w:pPr>
    </w:p>
    <w:p w:rsidR="006878AD" w:rsidRPr="004836F6" w:rsidRDefault="006D30CF" w:rsidP="00CB7766">
      <w:pPr>
        <w:tabs>
          <w:tab w:val="left" w:pos="709"/>
        </w:tabs>
        <w:spacing w:after="0" w:line="336" w:lineRule="auto"/>
        <w:ind w:right="51"/>
        <w:jc w:val="both"/>
        <w:rPr>
          <w:rFonts w:ascii="Bookman Old Style" w:hAnsi="Bookman Old Style"/>
          <w:sz w:val="27"/>
          <w:szCs w:val="27"/>
        </w:rPr>
      </w:pPr>
      <w:r w:rsidRPr="004836F6">
        <w:rPr>
          <w:rFonts w:ascii="Bookman Old Style" w:hAnsi="Bookman Old Style"/>
          <w:sz w:val="27"/>
          <w:szCs w:val="27"/>
        </w:rPr>
        <w:tab/>
      </w:r>
      <w:r w:rsidR="006E191A" w:rsidRPr="004836F6">
        <w:rPr>
          <w:rFonts w:ascii="Bookman Old Style" w:hAnsi="Bookman Old Style"/>
          <w:sz w:val="27"/>
          <w:szCs w:val="27"/>
        </w:rPr>
        <w:t>La fijación del término legal máximo de vigencia de la medida de aseguramiento</w:t>
      </w:r>
      <w:r w:rsidR="00916123" w:rsidRPr="004836F6">
        <w:rPr>
          <w:rFonts w:ascii="Bookman Old Style" w:hAnsi="Bookman Old Style"/>
          <w:sz w:val="27"/>
          <w:szCs w:val="27"/>
        </w:rPr>
        <w:t xml:space="preserve"> </w:t>
      </w:r>
      <w:r w:rsidR="00916123" w:rsidRPr="004836F6">
        <w:rPr>
          <w:rFonts w:ascii="Bookman Old Style" w:hAnsi="Bookman Old Style"/>
          <w:sz w:val="25"/>
          <w:szCs w:val="25"/>
        </w:rPr>
        <w:t>-un año-</w:t>
      </w:r>
      <w:r w:rsidR="006E191A" w:rsidRPr="004836F6">
        <w:rPr>
          <w:rFonts w:ascii="Bookman Old Style" w:hAnsi="Bookman Old Style"/>
          <w:sz w:val="27"/>
          <w:szCs w:val="27"/>
        </w:rPr>
        <w:t>, junto al establecimiento de una sanción para el Estado por la superación de aquél</w:t>
      </w:r>
      <w:r w:rsidR="00916123" w:rsidRPr="004836F6">
        <w:rPr>
          <w:rFonts w:ascii="Bookman Old Style" w:hAnsi="Bookman Old Style"/>
          <w:sz w:val="27"/>
          <w:szCs w:val="27"/>
        </w:rPr>
        <w:t xml:space="preserve"> </w:t>
      </w:r>
      <w:r w:rsidR="00916123" w:rsidRPr="004836F6">
        <w:rPr>
          <w:rFonts w:ascii="Bookman Old Style" w:hAnsi="Bookman Old Style"/>
          <w:sz w:val="25"/>
          <w:szCs w:val="25"/>
        </w:rPr>
        <w:t>-</w:t>
      </w:r>
      <w:r w:rsidR="0005144D" w:rsidRPr="004836F6">
        <w:rPr>
          <w:rFonts w:ascii="Bookman Old Style" w:hAnsi="Bookman Old Style"/>
          <w:sz w:val="25"/>
          <w:szCs w:val="25"/>
        </w:rPr>
        <w:t>sustituci</w:t>
      </w:r>
      <w:r w:rsidR="006E191A" w:rsidRPr="004836F6">
        <w:rPr>
          <w:rFonts w:ascii="Bookman Old Style" w:hAnsi="Bookman Old Style"/>
          <w:sz w:val="25"/>
          <w:szCs w:val="25"/>
        </w:rPr>
        <w:t>ón</w:t>
      </w:r>
      <w:r w:rsidR="00A07D56" w:rsidRPr="004836F6">
        <w:rPr>
          <w:rFonts w:ascii="Bookman Old Style" w:hAnsi="Bookman Old Style"/>
          <w:sz w:val="25"/>
          <w:szCs w:val="25"/>
        </w:rPr>
        <w:t xml:space="preserve"> de la detención por una medida no privativa de la libertad-</w:t>
      </w:r>
      <w:r w:rsidR="00113E66" w:rsidRPr="004836F6">
        <w:rPr>
          <w:rFonts w:ascii="Bookman Old Style" w:hAnsi="Bookman Old Style"/>
          <w:sz w:val="25"/>
          <w:szCs w:val="25"/>
        </w:rPr>
        <w:t>,</w:t>
      </w:r>
      <w:r w:rsidR="00113E66" w:rsidRPr="004836F6">
        <w:rPr>
          <w:rFonts w:ascii="Bookman Old Style" w:hAnsi="Bookman Old Style"/>
          <w:sz w:val="27"/>
          <w:szCs w:val="27"/>
        </w:rPr>
        <w:t xml:space="preserve"> son concreciones del derecho a ser juzgado dentro de un plazo razonable, cláusula que, a su vez, integra el debido proceso. </w:t>
      </w:r>
      <w:r w:rsidR="00B07AA9" w:rsidRPr="004836F6">
        <w:rPr>
          <w:rFonts w:ascii="Bookman Old Style" w:hAnsi="Bookman Old Style"/>
          <w:sz w:val="27"/>
          <w:szCs w:val="27"/>
        </w:rPr>
        <w:t>La extensión excepcional de ese término</w:t>
      </w:r>
      <w:r w:rsidR="00916123" w:rsidRPr="004836F6">
        <w:rPr>
          <w:rFonts w:ascii="Bookman Old Style" w:hAnsi="Bookman Old Style"/>
          <w:sz w:val="27"/>
          <w:szCs w:val="27"/>
        </w:rPr>
        <w:t xml:space="preserve"> </w:t>
      </w:r>
      <w:r w:rsidR="00916123" w:rsidRPr="004836F6">
        <w:rPr>
          <w:rFonts w:ascii="Bookman Old Style" w:hAnsi="Bookman Old Style"/>
          <w:sz w:val="25"/>
          <w:szCs w:val="25"/>
        </w:rPr>
        <w:t>-por otro año en determinados casos-</w:t>
      </w:r>
      <w:r w:rsidR="00916123" w:rsidRPr="004836F6">
        <w:rPr>
          <w:rFonts w:ascii="Bookman Old Style" w:hAnsi="Bookman Old Style"/>
          <w:sz w:val="27"/>
          <w:szCs w:val="27"/>
        </w:rPr>
        <w:t xml:space="preserve"> </w:t>
      </w:r>
      <w:r w:rsidR="005903C1" w:rsidRPr="004836F6">
        <w:rPr>
          <w:rFonts w:ascii="Bookman Old Style" w:hAnsi="Bookman Old Style"/>
          <w:sz w:val="27"/>
          <w:szCs w:val="27"/>
        </w:rPr>
        <w:t xml:space="preserve">fue condicionada por el legislador a la existencia de un pronunciamiento </w:t>
      </w:r>
      <w:r w:rsidR="005903C1" w:rsidRPr="004836F6">
        <w:rPr>
          <w:rFonts w:ascii="Bookman Old Style" w:hAnsi="Bookman Old Style"/>
          <w:i/>
          <w:sz w:val="27"/>
          <w:szCs w:val="27"/>
        </w:rPr>
        <w:t>judicial</w:t>
      </w:r>
      <w:r w:rsidR="005903C1" w:rsidRPr="004836F6">
        <w:rPr>
          <w:rFonts w:ascii="Bookman Old Style" w:hAnsi="Bookman Old Style"/>
          <w:sz w:val="27"/>
          <w:szCs w:val="27"/>
        </w:rPr>
        <w:t>. Ello quiere decir que</w:t>
      </w:r>
      <w:r w:rsidR="00C8676F" w:rsidRPr="004836F6">
        <w:rPr>
          <w:rFonts w:ascii="Bookman Old Style" w:hAnsi="Bookman Old Style"/>
          <w:sz w:val="27"/>
          <w:szCs w:val="27"/>
        </w:rPr>
        <w:t xml:space="preserve">, </w:t>
      </w:r>
      <w:r w:rsidR="00C8676F" w:rsidRPr="004836F6">
        <w:rPr>
          <w:rFonts w:ascii="Bookman Old Style" w:hAnsi="Bookman Old Style"/>
          <w:i/>
          <w:sz w:val="27"/>
          <w:szCs w:val="27"/>
        </w:rPr>
        <w:t>en línea de principio</w:t>
      </w:r>
      <w:r w:rsidR="00C8676F" w:rsidRPr="004836F6">
        <w:rPr>
          <w:rFonts w:ascii="Bookman Old Style" w:hAnsi="Bookman Old Style"/>
          <w:sz w:val="27"/>
          <w:szCs w:val="27"/>
        </w:rPr>
        <w:t>,</w:t>
      </w:r>
      <w:r w:rsidR="005903C1" w:rsidRPr="004836F6">
        <w:rPr>
          <w:rFonts w:ascii="Bookman Old Style" w:hAnsi="Bookman Old Style"/>
          <w:sz w:val="27"/>
          <w:szCs w:val="27"/>
        </w:rPr>
        <w:t xml:space="preserve"> la prórroga no opera </w:t>
      </w:r>
      <w:r w:rsidR="00131D7B" w:rsidRPr="004836F6">
        <w:rPr>
          <w:rFonts w:ascii="Bookman Old Style" w:hAnsi="Bookman Old Style"/>
          <w:sz w:val="27"/>
          <w:szCs w:val="27"/>
        </w:rPr>
        <w:t xml:space="preserve">de pleno derecho, </w:t>
      </w:r>
      <w:r w:rsidR="005903C1" w:rsidRPr="004836F6">
        <w:rPr>
          <w:rFonts w:ascii="Bookman Old Style" w:hAnsi="Bookman Old Style"/>
          <w:sz w:val="27"/>
          <w:szCs w:val="27"/>
        </w:rPr>
        <w:t xml:space="preserve">sino que el funcionario respectivo </w:t>
      </w:r>
      <w:r w:rsidR="005903C1" w:rsidRPr="004836F6">
        <w:rPr>
          <w:rFonts w:ascii="Bookman Old Style" w:hAnsi="Bookman Old Style"/>
          <w:sz w:val="25"/>
          <w:szCs w:val="25"/>
        </w:rPr>
        <w:t>-juez de control de garantías, fiscal o juez de conocimiento, dependiendo la codificación procesal penal aplicable y la fase del proceso-</w:t>
      </w:r>
      <w:r w:rsidR="00FA70BB" w:rsidRPr="004836F6">
        <w:rPr>
          <w:rFonts w:ascii="Bookman Old Style" w:hAnsi="Bookman Old Style"/>
          <w:sz w:val="25"/>
          <w:szCs w:val="25"/>
        </w:rPr>
        <w:t xml:space="preserve"> </w:t>
      </w:r>
      <w:r w:rsidR="00DA2A7E" w:rsidRPr="004836F6">
        <w:rPr>
          <w:rFonts w:ascii="Bookman Old Style" w:hAnsi="Bookman Old Style"/>
          <w:sz w:val="27"/>
          <w:szCs w:val="27"/>
        </w:rPr>
        <w:t>ha de establecer</w:t>
      </w:r>
      <w:r w:rsidR="006878AD" w:rsidRPr="004836F6">
        <w:rPr>
          <w:rFonts w:ascii="Bookman Old Style" w:hAnsi="Bookman Old Style"/>
          <w:sz w:val="27"/>
          <w:szCs w:val="27"/>
        </w:rPr>
        <w:t xml:space="preserve"> si</w:t>
      </w:r>
      <w:r w:rsidR="00916123" w:rsidRPr="004836F6">
        <w:rPr>
          <w:rFonts w:ascii="Bookman Old Style" w:hAnsi="Bookman Old Style"/>
          <w:sz w:val="27"/>
          <w:szCs w:val="27"/>
        </w:rPr>
        <w:t xml:space="preserve"> se dan los presupuestos legales para habilitar el término adicional. </w:t>
      </w:r>
    </w:p>
    <w:p w:rsidR="006878AD" w:rsidRPr="004836F6" w:rsidRDefault="006878AD" w:rsidP="00CB7766">
      <w:pPr>
        <w:tabs>
          <w:tab w:val="left" w:pos="709"/>
        </w:tabs>
        <w:spacing w:after="0" w:line="336" w:lineRule="auto"/>
        <w:ind w:right="51"/>
        <w:jc w:val="both"/>
        <w:rPr>
          <w:rFonts w:ascii="Bookman Old Style" w:hAnsi="Bookman Old Style"/>
          <w:sz w:val="27"/>
          <w:szCs w:val="27"/>
        </w:rPr>
      </w:pPr>
    </w:p>
    <w:p w:rsidR="007979F3" w:rsidRPr="004836F6" w:rsidRDefault="007979F3" w:rsidP="007979F3">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ab/>
        <w:t>En efecto, de acuerdo con el art. 1º inc. 1º de la Ley 1786 de 2016, “</w:t>
      </w:r>
      <w:r w:rsidRPr="004836F6">
        <w:rPr>
          <w:rFonts w:ascii="Bookman Old Style" w:hAnsi="Bookman Old Style"/>
          <w:i/>
          <w:sz w:val="26"/>
          <w:szCs w:val="26"/>
        </w:rPr>
        <w:t xml:space="preserve">el término de las medidas de aseguramiento privativas de la libertad no podrá exceder de un año. Cuando el proceso se surta ante la justicia penal especializada, o sean tres o más los acusados contra quienes estuviere vigente la detención preventiva, o se trate de investigación o juicio de actos de corrupción de los que trata la Ley 1474 de 2011 o de cualquiera de las conductas previstas en el Título IV del Libro Segundo del C.P., </w:t>
      </w:r>
      <w:r w:rsidRPr="004836F6">
        <w:rPr>
          <w:rFonts w:ascii="Bookman Old Style" w:hAnsi="Bookman Old Style"/>
          <w:b/>
          <w:i/>
          <w:sz w:val="26"/>
          <w:szCs w:val="26"/>
        </w:rPr>
        <w:t xml:space="preserve">dicho término </w:t>
      </w:r>
      <w:r w:rsidRPr="004836F6">
        <w:rPr>
          <w:rFonts w:ascii="Bookman Old Style" w:hAnsi="Bookman Old Style"/>
          <w:b/>
          <w:i/>
          <w:sz w:val="26"/>
          <w:szCs w:val="26"/>
          <w:u w:val="single"/>
        </w:rPr>
        <w:t>podrá</w:t>
      </w:r>
      <w:r w:rsidRPr="004836F6">
        <w:rPr>
          <w:rFonts w:ascii="Bookman Old Style" w:hAnsi="Bookman Old Style"/>
          <w:b/>
          <w:i/>
          <w:sz w:val="26"/>
          <w:szCs w:val="26"/>
        </w:rPr>
        <w:t xml:space="preserve"> prorrogarse, </w:t>
      </w:r>
      <w:r w:rsidRPr="004836F6">
        <w:rPr>
          <w:rFonts w:ascii="Bookman Old Style" w:hAnsi="Bookman Old Style"/>
          <w:i/>
          <w:sz w:val="26"/>
          <w:szCs w:val="26"/>
        </w:rPr>
        <w:t xml:space="preserve">a solicitud del fiscal o del apoderado de la </w:t>
      </w:r>
      <w:r w:rsidRPr="004836F6">
        <w:rPr>
          <w:rFonts w:ascii="Bookman Old Style" w:hAnsi="Bookman Old Style"/>
          <w:i/>
          <w:sz w:val="26"/>
          <w:szCs w:val="26"/>
        </w:rPr>
        <w:lastRenderedPageBreak/>
        <w:t xml:space="preserve">víctima, hasta por el mismo término inicial. Vencido el término, el juez de control de garantías, a petición de la Fiscalía, de la defensa o del apoderado de la víctima </w:t>
      </w:r>
      <w:r w:rsidRPr="004836F6">
        <w:rPr>
          <w:rFonts w:ascii="Bookman Old Style" w:hAnsi="Bookman Old Style"/>
          <w:b/>
          <w:i/>
          <w:sz w:val="26"/>
          <w:szCs w:val="26"/>
          <w:u w:val="single"/>
        </w:rPr>
        <w:t>podrá sustituir</w:t>
      </w:r>
      <w:r w:rsidRPr="004836F6">
        <w:rPr>
          <w:rFonts w:ascii="Bookman Old Style" w:hAnsi="Bookman Old Style"/>
          <w:i/>
          <w:sz w:val="26"/>
          <w:szCs w:val="26"/>
        </w:rPr>
        <w:t xml:space="preserve"> la medida de aseguramiento privativa de la libertad de que se trate, por otra u otras medidas de aseguramiento no privativas de la libertad de que trata el presente artículo</w:t>
      </w:r>
      <w:r w:rsidRPr="004836F6">
        <w:rPr>
          <w:rFonts w:ascii="Bookman Old Style" w:hAnsi="Bookman Old Style"/>
          <w:sz w:val="27"/>
          <w:szCs w:val="27"/>
        </w:rPr>
        <w:t xml:space="preserve">”. </w:t>
      </w:r>
    </w:p>
    <w:p w:rsidR="00D8182F" w:rsidRPr="004836F6" w:rsidRDefault="00D8182F" w:rsidP="007979F3">
      <w:pPr>
        <w:spacing w:after="0" w:line="336" w:lineRule="auto"/>
        <w:ind w:firstLine="705"/>
        <w:jc w:val="both"/>
        <w:rPr>
          <w:rFonts w:ascii="Bookman Old Style" w:hAnsi="Bookman Old Style"/>
          <w:sz w:val="27"/>
          <w:szCs w:val="27"/>
        </w:rPr>
      </w:pPr>
    </w:p>
    <w:p w:rsidR="00D8182F" w:rsidRPr="004836F6" w:rsidRDefault="00D8182F" w:rsidP="007979F3">
      <w:pPr>
        <w:spacing w:after="0" w:line="336" w:lineRule="auto"/>
        <w:ind w:firstLine="705"/>
        <w:jc w:val="both"/>
        <w:rPr>
          <w:rFonts w:ascii="Bookman Old Style" w:hAnsi="Bookman Old Style"/>
          <w:sz w:val="27"/>
          <w:szCs w:val="27"/>
        </w:rPr>
      </w:pPr>
      <w:r w:rsidRPr="004836F6">
        <w:rPr>
          <w:rFonts w:ascii="Bookman Old Style" w:hAnsi="Bookman Old Style"/>
          <w:i/>
          <w:sz w:val="27"/>
          <w:szCs w:val="27"/>
        </w:rPr>
        <w:t>En los casos susceptibles de prórroga</w:t>
      </w:r>
      <w:r w:rsidRPr="004836F6">
        <w:rPr>
          <w:rFonts w:ascii="Bookman Old Style" w:hAnsi="Bookman Old Style"/>
          <w:sz w:val="27"/>
          <w:szCs w:val="27"/>
        </w:rPr>
        <w:t xml:space="preserve">, señala el inc. 2º </w:t>
      </w:r>
      <w:r w:rsidRPr="004836F6">
        <w:rPr>
          <w:rFonts w:ascii="Bookman Old Style" w:hAnsi="Bookman Old Style"/>
          <w:i/>
          <w:sz w:val="27"/>
          <w:szCs w:val="27"/>
        </w:rPr>
        <w:t>ídem</w:t>
      </w:r>
      <w:r w:rsidRPr="004836F6">
        <w:rPr>
          <w:rFonts w:ascii="Bookman Old Style" w:hAnsi="Bookman Old Style"/>
          <w:sz w:val="27"/>
          <w:szCs w:val="27"/>
        </w:rPr>
        <w:t xml:space="preserve">, </w:t>
      </w:r>
      <w:r w:rsidR="00C57F26" w:rsidRPr="004836F6">
        <w:rPr>
          <w:rFonts w:ascii="Bookman Old Style" w:hAnsi="Bookman Old Style"/>
          <w:sz w:val="27"/>
          <w:szCs w:val="27"/>
        </w:rPr>
        <w:t>“</w:t>
      </w:r>
      <w:r w:rsidRPr="004836F6">
        <w:rPr>
          <w:rFonts w:ascii="Bookman Old Style" w:hAnsi="Bookman Old Style"/>
          <w:i/>
          <w:sz w:val="27"/>
          <w:szCs w:val="27"/>
        </w:rPr>
        <w:t xml:space="preserve">los jueces de control de garantías, para resolver sobre la solicitud de </w:t>
      </w:r>
      <w:r w:rsidRPr="004836F6">
        <w:rPr>
          <w:rFonts w:ascii="Bookman Old Style" w:hAnsi="Bookman Old Style"/>
          <w:b/>
          <w:i/>
          <w:sz w:val="27"/>
          <w:szCs w:val="27"/>
          <w:u w:val="single"/>
        </w:rPr>
        <w:t>levantamiento</w:t>
      </w:r>
      <w:r w:rsidRPr="004836F6">
        <w:rPr>
          <w:rFonts w:ascii="Bookman Old Style" w:hAnsi="Bookman Old Style"/>
          <w:i/>
          <w:sz w:val="27"/>
          <w:szCs w:val="27"/>
        </w:rPr>
        <w:t xml:space="preserve"> o </w:t>
      </w:r>
      <w:r w:rsidRPr="004836F6">
        <w:rPr>
          <w:rFonts w:ascii="Bookman Old Style" w:hAnsi="Bookman Old Style"/>
          <w:b/>
          <w:i/>
          <w:sz w:val="27"/>
          <w:szCs w:val="27"/>
          <w:u w:val="single"/>
        </w:rPr>
        <w:t>prórroga</w:t>
      </w:r>
      <w:r w:rsidRPr="004836F6">
        <w:rPr>
          <w:rFonts w:ascii="Bookman Old Style" w:hAnsi="Bookman Old Style"/>
          <w:i/>
          <w:sz w:val="27"/>
          <w:szCs w:val="27"/>
        </w:rPr>
        <w:t xml:space="preserve"> de las medidas de aseguramiento privativas de la libertad, </w:t>
      </w:r>
      <w:r w:rsidRPr="004836F6">
        <w:rPr>
          <w:rFonts w:ascii="Bookman Old Style" w:hAnsi="Bookman Old Style"/>
          <w:b/>
          <w:i/>
          <w:sz w:val="27"/>
          <w:szCs w:val="27"/>
          <w:u w:val="single"/>
        </w:rPr>
        <w:t>deberán</w:t>
      </w:r>
      <w:r w:rsidRPr="004836F6">
        <w:rPr>
          <w:rFonts w:ascii="Bookman Old Style" w:hAnsi="Bookman Old Style"/>
          <w:i/>
          <w:sz w:val="27"/>
          <w:szCs w:val="27"/>
        </w:rPr>
        <w:t xml:space="preserve"> considerar, además de los requisitos contemplados en el artículo 308 del Código de Procedimiento Penal, el tiempo que haya transcurrido por causa de maniobras dilatorias atribuibles a la actividad procesal del interesado o su defensor, caso en el cual dicho tiempo no se contabilizará dentro del término máximo de la medida de aseguramiento privativa de la libertad contemplado en este artículo</w:t>
      </w:r>
      <w:r w:rsidR="00C57F26" w:rsidRPr="004836F6">
        <w:rPr>
          <w:rFonts w:ascii="Bookman Old Style" w:hAnsi="Bookman Old Style"/>
          <w:sz w:val="27"/>
          <w:szCs w:val="27"/>
        </w:rPr>
        <w:t>”</w:t>
      </w:r>
      <w:r w:rsidRPr="004836F6">
        <w:rPr>
          <w:rFonts w:ascii="Bookman Old Style" w:hAnsi="Bookman Old Style"/>
          <w:sz w:val="27"/>
          <w:szCs w:val="27"/>
        </w:rPr>
        <w:t>.</w:t>
      </w:r>
    </w:p>
    <w:p w:rsidR="007979F3" w:rsidRPr="004836F6" w:rsidRDefault="007979F3" w:rsidP="007979F3">
      <w:pPr>
        <w:spacing w:after="0" w:line="336" w:lineRule="auto"/>
        <w:ind w:firstLine="705"/>
        <w:jc w:val="both"/>
        <w:rPr>
          <w:rFonts w:ascii="Bookman Old Style" w:hAnsi="Bookman Old Style"/>
          <w:sz w:val="27"/>
          <w:szCs w:val="27"/>
        </w:rPr>
      </w:pPr>
    </w:p>
    <w:p w:rsidR="007979F3" w:rsidRPr="004836F6" w:rsidRDefault="007979F3" w:rsidP="007979F3">
      <w:pPr>
        <w:tabs>
          <w:tab w:val="left" w:pos="709"/>
        </w:tabs>
        <w:spacing w:after="0" w:line="336" w:lineRule="auto"/>
        <w:ind w:right="51"/>
        <w:jc w:val="both"/>
        <w:rPr>
          <w:rFonts w:ascii="Bookman Old Style" w:hAnsi="Bookman Old Style"/>
          <w:sz w:val="27"/>
          <w:szCs w:val="27"/>
        </w:rPr>
      </w:pPr>
      <w:r w:rsidRPr="004836F6">
        <w:rPr>
          <w:rFonts w:ascii="Bookman Old Style" w:hAnsi="Bookman Old Style"/>
          <w:sz w:val="27"/>
          <w:szCs w:val="27"/>
        </w:rPr>
        <w:tab/>
        <w:t xml:space="preserve">A su turno, el art. 3º </w:t>
      </w:r>
      <w:r w:rsidRPr="004836F6">
        <w:rPr>
          <w:rFonts w:ascii="Bookman Old Style" w:hAnsi="Bookman Old Style"/>
          <w:i/>
          <w:sz w:val="27"/>
          <w:szCs w:val="27"/>
        </w:rPr>
        <w:t xml:space="preserve">ídem </w:t>
      </w:r>
      <w:r w:rsidRPr="004836F6">
        <w:rPr>
          <w:rFonts w:ascii="Bookman Old Style" w:hAnsi="Bookman Old Style"/>
          <w:sz w:val="27"/>
          <w:szCs w:val="27"/>
        </w:rPr>
        <w:t>preceptúa que “</w:t>
      </w:r>
      <w:r w:rsidRPr="004836F6">
        <w:rPr>
          <w:rFonts w:ascii="Bookman Old Style" w:hAnsi="Bookman Old Style"/>
          <w:i/>
          <w:sz w:val="27"/>
          <w:szCs w:val="27"/>
        </w:rPr>
        <w:t xml:space="preserve">la prórroga del término máximo de las medidas de aseguramiento privativas de la libertad a la que hace referencia el artículo 1º de la Ley 1760 de 2015 </w:t>
      </w:r>
      <w:r w:rsidRPr="004836F6">
        <w:rPr>
          <w:rFonts w:ascii="Bookman Old Style" w:hAnsi="Bookman Old Style"/>
          <w:b/>
          <w:i/>
          <w:sz w:val="27"/>
          <w:szCs w:val="27"/>
          <w:u w:val="single"/>
        </w:rPr>
        <w:t>podrá</w:t>
      </w:r>
      <w:r w:rsidRPr="004836F6">
        <w:rPr>
          <w:rFonts w:ascii="Bookman Old Style" w:hAnsi="Bookman Old Style"/>
          <w:i/>
          <w:sz w:val="27"/>
          <w:szCs w:val="27"/>
        </w:rPr>
        <w:t xml:space="preserve"> solicitarse ante el juez de control de garantías dentro de los dos meses anteriores a su vencimiento, incluso desde antes de que dicho artículo entre en vigencia</w:t>
      </w:r>
      <w:r w:rsidRPr="004836F6">
        <w:rPr>
          <w:rFonts w:ascii="Bookman Old Style" w:hAnsi="Bookman Old Style"/>
          <w:sz w:val="27"/>
          <w:szCs w:val="27"/>
        </w:rPr>
        <w:t>”.</w:t>
      </w:r>
    </w:p>
    <w:p w:rsidR="006878AD" w:rsidRPr="004836F6" w:rsidRDefault="006878AD" w:rsidP="00CB7766">
      <w:pPr>
        <w:tabs>
          <w:tab w:val="left" w:pos="709"/>
        </w:tabs>
        <w:spacing w:after="0" w:line="336" w:lineRule="auto"/>
        <w:ind w:right="51"/>
        <w:jc w:val="both"/>
        <w:rPr>
          <w:rFonts w:ascii="Bookman Old Style" w:hAnsi="Bookman Old Style"/>
          <w:sz w:val="27"/>
          <w:szCs w:val="27"/>
        </w:rPr>
      </w:pPr>
    </w:p>
    <w:p w:rsidR="0032536B" w:rsidRPr="004836F6" w:rsidRDefault="00D8182F" w:rsidP="00D82582">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 xml:space="preserve">En ejercicio de su libertad de configuración, </w:t>
      </w:r>
      <w:r w:rsidR="002E26D1" w:rsidRPr="004836F6">
        <w:rPr>
          <w:rFonts w:ascii="Bookman Old Style" w:hAnsi="Bookman Old Style"/>
          <w:sz w:val="27"/>
          <w:szCs w:val="27"/>
        </w:rPr>
        <w:t xml:space="preserve">en el art. 1º de la Ley 1786 de 2016, </w:t>
      </w:r>
      <w:r w:rsidRPr="004836F6">
        <w:rPr>
          <w:rFonts w:ascii="Bookman Old Style" w:hAnsi="Bookman Old Style"/>
          <w:sz w:val="27"/>
          <w:szCs w:val="27"/>
        </w:rPr>
        <w:t xml:space="preserve">el legislador estableció referentes </w:t>
      </w:r>
      <w:r w:rsidRPr="004836F6">
        <w:rPr>
          <w:rFonts w:ascii="Bookman Old Style" w:hAnsi="Bookman Old Style"/>
          <w:i/>
          <w:sz w:val="27"/>
          <w:szCs w:val="27"/>
        </w:rPr>
        <w:t>temporales</w:t>
      </w:r>
      <w:r w:rsidRPr="004836F6">
        <w:rPr>
          <w:rFonts w:ascii="Bookman Old Style" w:hAnsi="Bookman Old Style"/>
          <w:sz w:val="27"/>
          <w:szCs w:val="27"/>
        </w:rPr>
        <w:t xml:space="preserve"> </w:t>
      </w:r>
      <w:r w:rsidRPr="004836F6">
        <w:rPr>
          <w:rFonts w:ascii="Bookman Old Style" w:hAnsi="Bookman Old Style"/>
          <w:i/>
          <w:sz w:val="27"/>
          <w:szCs w:val="27"/>
        </w:rPr>
        <w:t>objetivos</w:t>
      </w:r>
      <w:r w:rsidRPr="004836F6">
        <w:rPr>
          <w:rFonts w:ascii="Bookman Old Style" w:hAnsi="Bookman Old Style"/>
          <w:sz w:val="27"/>
          <w:szCs w:val="27"/>
        </w:rPr>
        <w:t xml:space="preserve"> </w:t>
      </w:r>
      <w:r w:rsidR="001931E6" w:rsidRPr="004836F6">
        <w:rPr>
          <w:rFonts w:ascii="Bookman Old Style" w:hAnsi="Bookman Old Style"/>
          <w:sz w:val="27"/>
          <w:szCs w:val="27"/>
        </w:rPr>
        <w:t xml:space="preserve">de estricto acatamiento, sin lugar a prolongaciones basadas en criterios </w:t>
      </w:r>
      <w:r w:rsidR="001931E6" w:rsidRPr="004836F6">
        <w:rPr>
          <w:rFonts w:ascii="Bookman Old Style" w:hAnsi="Bookman Old Style"/>
          <w:i/>
          <w:sz w:val="27"/>
          <w:szCs w:val="27"/>
        </w:rPr>
        <w:t>cualitativos</w:t>
      </w:r>
      <w:r w:rsidR="001931E6" w:rsidRPr="004836F6">
        <w:rPr>
          <w:rFonts w:ascii="Bookman Old Style" w:hAnsi="Bookman Old Style"/>
          <w:sz w:val="27"/>
          <w:szCs w:val="27"/>
        </w:rPr>
        <w:t xml:space="preserve"> como la complejidad del asunto, la dificultad probatoria o la conducta desplegada por las autoridades judiciales -</w:t>
      </w:r>
      <w:r w:rsidR="001931E6" w:rsidRPr="004836F6">
        <w:rPr>
          <w:rFonts w:ascii="Bookman Old Style" w:hAnsi="Bookman Old Style"/>
          <w:sz w:val="25"/>
          <w:szCs w:val="25"/>
        </w:rPr>
        <w:t xml:space="preserve">que han servido de </w:t>
      </w:r>
      <w:r w:rsidR="001931E6" w:rsidRPr="004836F6">
        <w:rPr>
          <w:rFonts w:ascii="Bookman Old Style" w:hAnsi="Bookman Old Style"/>
          <w:sz w:val="25"/>
          <w:szCs w:val="25"/>
        </w:rPr>
        <w:lastRenderedPageBreak/>
        <w:t xml:space="preserve">referentes para valorar la razonabilidad del plazo </w:t>
      </w:r>
      <w:r w:rsidR="001931E6" w:rsidRPr="004836F6">
        <w:rPr>
          <w:rFonts w:ascii="Bookman Old Style" w:hAnsi="Bookman Old Style"/>
          <w:i/>
          <w:sz w:val="25"/>
          <w:szCs w:val="25"/>
        </w:rPr>
        <w:t>ante la inexistencia de términos específicos fijados por la ley</w:t>
      </w:r>
      <w:r w:rsidR="00C109DB" w:rsidRPr="004836F6">
        <w:rPr>
          <w:rStyle w:val="Refdenotaalpie"/>
          <w:rFonts w:ascii="Bookman Old Style" w:hAnsi="Bookman Old Style"/>
          <w:sz w:val="25"/>
          <w:szCs w:val="25"/>
        </w:rPr>
        <w:footnoteReference w:id="12"/>
      </w:r>
      <w:r w:rsidR="001931E6" w:rsidRPr="004836F6">
        <w:rPr>
          <w:rFonts w:ascii="Bookman Old Style" w:hAnsi="Bookman Old Style"/>
          <w:sz w:val="27"/>
          <w:szCs w:val="27"/>
        </w:rPr>
        <w:t>-</w:t>
      </w:r>
      <w:r w:rsidR="007E007E" w:rsidRPr="004836F6">
        <w:rPr>
          <w:rFonts w:ascii="Bookman Old Style" w:hAnsi="Bookman Old Style"/>
          <w:sz w:val="27"/>
          <w:szCs w:val="27"/>
        </w:rPr>
        <w:t>,</w:t>
      </w:r>
      <w:r w:rsidR="00C109DB" w:rsidRPr="004836F6">
        <w:rPr>
          <w:rFonts w:ascii="Bookman Old Style" w:hAnsi="Bookman Old Style"/>
          <w:sz w:val="27"/>
          <w:szCs w:val="27"/>
        </w:rPr>
        <w:t xml:space="preserve"> </w:t>
      </w:r>
      <w:r w:rsidR="009A39BC" w:rsidRPr="004836F6">
        <w:rPr>
          <w:rFonts w:ascii="Bookman Old Style" w:hAnsi="Bookman Old Style"/>
          <w:sz w:val="27"/>
          <w:szCs w:val="27"/>
        </w:rPr>
        <w:t xml:space="preserve">para determinar cuándo un procesado ha de recobrar su libertad por el incumplimiento del deber </w:t>
      </w:r>
      <w:r w:rsidR="000D3FAD" w:rsidRPr="004836F6">
        <w:rPr>
          <w:rFonts w:ascii="Bookman Old Style" w:hAnsi="Bookman Old Style"/>
          <w:sz w:val="27"/>
          <w:szCs w:val="27"/>
        </w:rPr>
        <w:t xml:space="preserve">estatal </w:t>
      </w:r>
      <w:r w:rsidR="009A39BC" w:rsidRPr="004836F6">
        <w:rPr>
          <w:rFonts w:ascii="Bookman Old Style" w:hAnsi="Bookman Old Style"/>
          <w:sz w:val="27"/>
          <w:szCs w:val="27"/>
        </w:rPr>
        <w:t xml:space="preserve">de </w:t>
      </w:r>
      <w:r w:rsidR="00C8772F" w:rsidRPr="004836F6">
        <w:rPr>
          <w:rFonts w:ascii="Bookman Old Style" w:hAnsi="Bookman Old Style"/>
          <w:sz w:val="27"/>
          <w:szCs w:val="27"/>
        </w:rPr>
        <w:t xml:space="preserve">juzgarlo dentro de ese plazo máximo de un año. </w:t>
      </w:r>
    </w:p>
    <w:p w:rsidR="0032536B" w:rsidRPr="004836F6" w:rsidRDefault="0032536B" w:rsidP="00D82582">
      <w:pPr>
        <w:spacing w:after="0" w:line="336" w:lineRule="auto"/>
        <w:ind w:firstLine="705"/>
        <w:jc w:val="both"/>
        <w:rPr>
          <w:rFonts w:ascii="Bookman Old Style" w:hAnsi="Bookman Old Style"/>
          <w:sz w:val="27"/>
          <w:szCs w:val="27"/>
        </w:rPr>
      </w:pPr>
    </w:p>
    <w:p w:rsidR="000D3FAD" w:rsidRPr="004836F6" w:rsidRDefault="0032536B" w:rsidP="00D82582">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 xml:space="preserve">De igual manera, como se extracta de las normas arriba reseñadas, </w:t>
      </w:r>
      <w:r w:rsidR="006F3456" w:rsidRPr="004836F6">
        <w:rPr>
          <w:rFonts w:ascii="Bookman Old Style" w:hAnsi="Bookman Old Style"/>
          <w:sz w:val="27"/>
          <w:szCs w:val="27"/>
        </w:rPr>
        <w:t xml:space="preserve">la </w:t>
      </w:r>
      <w:r w:rsidR="006F3456" w:rsidRPr="004836F6">
        <w:rPr>
          <w:rFonts w:ascii="Bookman Old Style" w:hAnsi="Bookman Old Style"/>
          <w:i/>
          <w:sz w:val="27"/>
          <w:szCs w:val="27"/>
        </w:rPr>
        <w:t>prolongación</w:t>
      </w:r>
      <w:r w:rsidR="006F3456" w:rsidRPr="004836F6">
        <w:rPr>
          <w:rFonts w:ascii="Bookman Old Style" w:hAnsi="Bookman Old Style"/>
          <w:sz w:val="27"/>
          <w:szCs w:val="27"/>
        </w:rPr>
        <w:t xml:space="preserve"> del término por otro año más, absolutamente insuperable, </w:t>
      </w:r>
      <w:r w:rsidR="00AB1FC2" w:rsidRPr="004836F6">
        <w:rPr>
          <w:rFonts w:ascii="Bookman Old Style" w:hAnsi="Bookman Old Style"/>
          <w:sz w:val="27"/>
          <w:szCs w:val="27"/>
        </w:rPr>
        <w:t xml:space="preserve">depende únicamente de que el funcionario judicial lo </w:t>
      </w:r>
      <w:r w:rsidR="00AB1FC2" w:rsidRPr="004836F6">
        <w:rPr>
          <w:rFonts w:ascii="Bookman Old Style" w:hAnsi="Bookman Old Style"/>
          <w:i/>
          <w:sz w:val="27"/>
          <w:szCs w:val="27"/>
        </w:rPr>
        <w:t>valide</w:t>
      </w:r>
      <w:r w:rsidR="000D3FAD" w:rsidRPr="004836F6">
        <w:rPr>
          <w:rFonts w:ascii="Bookman Old Style" w:hAnsi="Bookman Old Style"/>
          <w:sz w:val="27"/>
          <w:szCs w:val="27"/>
        </w:rPr>
        <w:t xml:space="preserve"> tras constatar alguna de las circunstancias que dan lugar a la duplicaci</w:t>
      </w:r>
      <w:r w:rsidR="00A017B5" w:rsidRPr="004836F6">
        <w:rPr>
          <w:rFonts w:ascii="Bookman Old Style" w:hAnsi="Bookman Old Style"/>
          <w:sz w:val="27"/>
          <w:szCs w:val="27"/>
        </w:rPr>
        <w:t>ón del plazo, que son estrictamente objetivas</w:t>
      </w:r>
      <w:r w:rsidR="004A1109" w:rsidRPr="004836F6">
        <w:rPr>
          <w:rFonts w:ascii="Bookman Old Style" w:hAnsi="Bookman Old Style"/>
          <w:sz w:val="27"/>
          <w:szCs w:val="27"/>
        </w:rPr>
        <w:t xml:space="preserve"> y </w:t>
      </w:r>
      <w:r w:rsidR="0059555E" w:rsidRPr="004836F6">
        <w:rPr>
          <w:rFonts w:ascii="Bookman Old Style" w:hAnsi="Bookman Old Style"/>
          <w:sz w:val="27"/>
          <w:szCs w:val="27"/>
        </w:rPr>
        <w:t xml:space="preserve">que, </w:t>
      </w:r>
      <w:r w:rsidR="009A1A11" w:rsidRPr="004836F6">
        <w:rPr>
          <w:rFonts w:ascii="Bookman Old Style" w:hAnsi="Bookman Old Style"/>
          <w:sz w:val="27"/>
          <w:szCs w:val="27"/>
        </w:rPr>
        <w:t>prácticamente</w:t>
      </w:r>
      <w:r w:rsidR="0059555E" w:rsidRPr="004836F6">
        <w:rPr>
          <w:rFonts w:ascii="Bookman Old Style" w:hAnsi="Bookman Old Style"/>
          <w:sz w:val="27"/>
          <w:szCs w:val="27"/>
        </w:rPr>
        <w:t>,</w:t>
      </w:r>
      <w:r w:rsidR="009A1A11" w:rsidRPr="004836F6">
        <w:rPr>
          <w:rFonts w:ascii="Bookman Old Style" w:hAnsi="Bookman Old Style"/>
          <w:sz w:val="27"/>
          <w:szCs w:val="27"/>
        </w:rPr>
        <w:t xml:space="preserve"> operan por ministerio de la ley. Mas tal validación, en asuntos gobern</w:t>
      </w:r>
      <w:r w:rsidR="0006441A" w:rsidRPr="004836F6">
        <w:rPr>
          <w:rFonts w:ascii="Bookman Old Style" w:hAnsi="Bookman Old Style"/>
          <w:sz w:val="27"/>
          <w:szCs w:val="27"/>
        </w:rPr>
        <w:t xml:space="preserve">ados por la Ley 906 de 2004, no puede ser decretada </w:t>
      </w:r>
      <w:r w:rsidR="0006441A" w:rsidRPr="004836F6">
        <w:rPr>
          <w:rFonts w:ascii="Bookman Old Style" w:hAnsi="Bookman Old Style"/>
          <w:i/>
          <w:sz w:val="27"/>
          <w:szCs w:val="27"/>
        </w:rPr>
        <w:t>motu proprio</w:t>
      </w:r>
      <w:r w:rsidR="0006441A" w:rsidRPr="004836F6">
        <w:rPr>
          <w:rFonts w:ascii="Bookman Old Style" w:hAnsi="Bookman Old Style"/>
          <w:sz w:val="27"/>
          <w:szCs w:val="27"/>
        </w:rPr>
        <w:t xml:space="preserve"> por el juez de control de garant</w:t>
      </w:r>
      <w:r w:rsidR="00A94EB1" w:rsidRPr="004836F6">
        <w:rPr>
          <w:rFonts w:ascii="Bookman Old Style" w:hAnsi="Bookman Old Style"/>
          <w:sz w:val="27"/>
          <w:szCs w:val="27"/>
        </w:rPr>
        <w:t xml:space="preserve">ías, sino que procede a petición de parte. </w:t>
      </w:r>
    </w:p>
    <w:p w:rsidR="00A94EB1" w:rsidRPr="004836F6" w:rsidRDefault="00A94EB1" w:rsidP="00D82582">
      <w:pPr>
        <w:spacing w:after="0" w:line="336" w:lineRule="auto"/>
        <w:ind w:firstLine="705"/>
        <w:jc w:val="both"/>
        <w:rPr>
          <w:rFonts w:ascii="Bookman Old Style" w:hAnsi="Bookman Old Style"/>
          <w:sz w:val="27"/>
          <w:szCs w:val="27"/>
        </w:rPr>
      </w:pPr>
    </w:p>
    <w:p w:rsidR="00A94EB1" w:rsidRPr="004836F6" w:rsidRDefault="007524C6" w:rsidP="00D82582">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Constitucional y legal</w:t>
      </w:r>
      <w:r w:rsidR="00A94EB1" w:rsidRPr="004836F6">
        <w:rPr>
          <w:rFonts w:ascii="Bookman Old Style" w:hAnsi="Bookman Old Style"/>
          <w:sz w:val="27"/>
          <w:szCs w:val="27"/>
        </w:rPr>
        <w:t xml:space="preserve">mente </w:t>
      </w:r>
      <w:r w:rsidR="00A94EB1" w:rsidRPr="004836F6">
        <w:rPr>
          <w:rFonts w:ascii="Bookman Old Style" w:hAnsi="Bookman Old Style"/>
          <w:sz w:val="25"/>
          <w:szCs w:val="25"/>
        </w:rPr>
        <w:t>(art</w:t>
      </w:r>
      <w:r w:rsidRPr="004836F6">
        <w:rPr>
          <w:rFonts w:ascii="Bookman Old Style" w:hAnsi="Bookman Old Style"/>
          <w:sz w:val="25"/>
          <w:szCs w:val="25"/>
        </w:rPr>
        <w:t>s</w:t>
      </w:r>
      <w:r w:rsidR="00A94EB1" w:rsidRPr="004836F6">
        <w:rPr>
          <w:rFonts w:ascii="Bookman Old Style" w:hAnsi="Bookman Old Style"/>
          <w:sz w:val="25"/>
          <w:szCs w:val="25"/>
        </w:rPr>
        <w:t>. 250-1</w:t>
      </w:r>
      <w:r w:rsidRPr="004836F6">
        <w:rPr>
          <w:rFonts w:ascii="Bookman Old Style" w:hAnsi="Bookman Old Style"/>
          <w:sz w:val="25"/>
          <w:szCs w:val="25"/>
        </w:rPr>
        <w:t xml:space="preserve"> de la Constitución y 306 </w:t>
      </w:r>
      <w:r w:rsidR="00DC75AB" w:rsidRPr="004836F6">
        <w:rPr>
          <w:rFonts w:ascii="Bookman Old Style" w:hAnsi="Bookman Old Style"/>
          <w:sz w:val="25"/>
          <w:szCs w:val="25"/>
        </w:rPr>
        <w:t xml:space="preserve">inc. 1º </w:t>
      </w:r>
      <w:r w:rsidRPr="004836F6">
        <w:rPr>
          <w:rFonts w:ascii="Bookman Old Style" w:hAnsi="Bookman Old Style"/>
          <w:sz w:val="25"/>
          <w:szCs w:val="25"/>
        </w:rPr>
        <w:t>de la Ley 906 de 2004</w:t>
      </w:r>
      <w:r w:rsidR="00A94EB1" w:rsidRPr="004836F6">
        <w:rPr>
          <w:rFonts w:ascii="Bookman Old Style" w:hAnsi="Bookman Old Style"/>
          <w:sz w:val="27"/>
          <w:szCs w:val="27"/>
        </w:rPr>
        <w:t>), la aplicación de las medidas de aseguramiento son potestad de la Fiscalía</w:t>
      </w:r>
      <w:r w:rsidR="00FD717F" w:rsidRPr="004836F6">
        <w:rPr>
          <w:rFonts w:ascii="Bookman Old Style" w:hAnsi="Bookman Old Style"/>
          <w:sz w:val="27"/>
          <w:szCs w:val="27"/>
        </w:rPr>
        <w:t xml:space="preserve">, en cabeza de quien radica el ejercicio de la </w:t>
      </w:r>
      <w:r w:rsidR="00FD717F" w:rsidRPr="004836F6">
        <w:rPr>
          <w:rFonts w:ascii="Bookman Old Style" w:hAnsi="Bookman Old Style"/>
          <w:i/>
          <w:sz w:val="27"/>
          <w:szCs w:val="27"/>
        </w:rPr>
        <w:t xml:space="preserve">pretensión </w:t>
      </w:r>
      <w:r w:rsidR="00FD717F" w:rsidRPr="004836F6">
        <w:rPr>
          <w:rFonts w:ascii="Bookman Old Style" w:hAnsi="Bookman Old Style"/>
          <w:sz w:val="27"/>
          <w:szCs w:val="27"/>
        </w:rPr>
        <w:t xml:space="preserve">penal. </w:t>
      </w:r>
      <w:r w:rsidR="00367B03" w:rsidRPr="004836F6">
        <w:rPr>
          <w:rFonts w:ascii="Bookman Old Style" w:hAnsi="Bookman Old Style"/>
          <w:sz w:val="27"/>
          <w:szCs w:val="27"/>
        </w:rPr>
        <w:t>Así el juez encontrara elementos suficientes para detener, en tal esquema procesal no está facul</w:t>
      </w:r>
      <w:r w:rsidRPr="004836F6">
        <w:rPr>
          <w:rFonts w:ascii="Bookman Old Style" w:hAnsi="Bookman Old Style"/>
          <w:sz w:val="27"/>
          <w:szCs w:val="27"/>
        </w:rPr>
        <w:t>tado para asegurar</w:t>
      </w:r>
      <w:r w:rsidR="00DA37E4" w:rsidRPr="004836F6">
        <w:rPr>
          <w:rFonts w:ascii="Bookman Old Style" w:hAnsi="Bookman Old Style"/>
          <w:sz w:val="27"/>
          <w:szCs w:val="27"/>
        </w:rPr>
        <w:t xml:space="preserve"> al imputado</w:t>
      </w:r>
      <w:r w:rsidRPr="004836F6">
        <w:rPr>
          <w:rFonts w:ascii="Bookman Old Style" w:hAnsi="Bookman Old Style"/>
          <w:sz w:val="27"/>
          <w:szCs w:val="27"/>
        </w:rPr>
        <w:t xml:space="preserve"> por iniciativa propia. </w:t>
      </w:r>
      <w:r w:rsidR="00DC75AB" w:rsidRPr="004836F6">
        <w:rPr>
          <w:rFonts w:ascii="Bookman Old Style" w:hAnsi="Bookman Old Style"/>
          <w:sz w:val="27"/>
          <w:szCs w:val="27"/>
        </w:rPr>
        <w:t xml:space="preserve">Tanto así, que sólo la víctima puede, </w:t>
      </w:r>
      <w:r w:rsidR="00DC75AB" w:rsidRPr="004836F6">
        <w:rPr>
          <w:rFonts w:ascii="Bookman Old Style" w:hAnsi="Bookman Old Style"/>
          <w:i/>
          <w:sz w:val="27"/>
          <w:szCs w:val="27"/>
        </w:rPr>
        <w:t>supletoriamente</w:t>
      </w:r>
      <w:r w:rsidR="00DC75AB" w:rsidRPr="004836F6">
        <w:rPr>
          <w:rFonts w:ascii="Bookman Old Style" w:hAnsi="Bookman Old Style"/>
          <w:sz w:val="27"/>
          <w:szCs w:val="27"/>
        </w:rPr>
        <w:t>, demandar la aplicación de las medidas de aseguramiento cuando el fiscal se abstenga de hacerlo</w:t>
      </w:r>
      <w:r w:rsidR="00DC75AB" w:rsidRPr="004836F6">
        <w:rPr>
          <w:rFonts w:ascii="Bookman Old Style" w:hAnsi="Bookman Old Style"/>
          <w:sz w:val="25"/>
          <w:szCs w:val="25"/>
        </w:rPr>
        <w:t xml:space="preserve"> (art. 306 inc. 4º </w:t>
      </w:r>
      <w:r w:rsidR="00DC75AB" w:rsidRPr="004836F6">
        <w:rPr>
          <w:rFonts w:ascii="Bookman Old Style" w:hAnsi="Bookman Old Style"/>
          <w:i/>
          <w:sz w:val="25"/>
          <w:szCs w:val="25"/>
        </w:rPr>
        <w:t>ídem</w:t>
      </w:r>
      <w:r w:rsidR="00DC75AB" w:rsidRPr="004836F6">
        <w:rPr>
          <w:rFonts w:ascii="Bookman Old Style" w:hAnsi="Bookman Old Style"/>
          <w:sz w:val="25"/>
          <w:szCs w:val="25"/>
        </w:rPr>
        <w:t>)</w:t>
      </w:r>
      <w:r w:rsidR="00DC75AB" w:rsidRPr="004836F6">
        <w:rPr>
          <w:rFonts w:ascii="Bookman Old Style" w:hAnsi="Bookman Old Style"/>
          <w:sz w:val="27"/>
          <w:szCs w:val="27"/>
        </w:rPr>
        <w:t xml:space="preserve">.  </w:t>
      </w:r>
    </w:p>
    <w:p w:rsidR="007B0AAD" w:rsidRPr="004836F6" w:rsidRDefault="007B0AAD" w:rsidP="00D82582">
      <w:pPr>
        <w:spacing w:after="0" w:line="336" w:lineRule="auto"/>
        <w:ind w:firstLine="705"/>
        <w:jc w:val="both"/>
        <w:rPr>
          <w:rFonts w:ascii="Bookman Old Style" w:hAnsi="Bookman Old Style"/>
          <w:sz w:val="27"/>
          <w:szCs w:val="27"/>
        </w:rPr>
      </w:pPr>
    </w:p>
    <w:p w:rsidR="007B0AAD" w:rsidRPr="004836F6" w:rsidRDefault="00D83225" w:rsidP="00D82582">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lastRenderedPageBreak/>
        <w:t xml:space="preserve">De ello deriva, entonces, que el interés para </w:t>
      </w:r>
      <w:r w:rsidR="005203F3" w:rsidRPr="004836F6">
        <w:rPr>
          <w:rFonts w:ascii="Bookman Old Style" w:hAnsi="Bookman Old Style"/>
          <w:i/>
          <w:sz w:val="27"/>
          <w:szCs w:val="27"/>
        </w:rPr>
        <w:t xml:space="preserve">mantener </w:t>
      </w:r>
      <w:r w:rsidR="00A05D1A" w:rsidRPr="004836F6">
        <w:rPr>
          <w:rFonts w:ascii="Bookman Old Style" w:hAnsi="Bookman Old Style"/>
          <w:sz w:val="27"/>
          <w:szCs w:val="27"/>
        </w:rPr>
        <w:t xml:space="preserve">la </w:t>
      </w:r>
      <w:r w:rsidR="00171E1B" w:rsidRPr="004836F6">
        <w:rPr>
          <w:rFonts w:ascii="Bookman Old Style" w:hAnsi="Bookman Old Style"/>
          <w:sz w:val="27"/>
          <w:szCs w:val="27"/>
        </w:rPr>
        <w:t xml:space="preserve">vigencia de la detención durante el proceso </w:t>
      </w:r>
      <w:r w:rsidR="00E95029" w:rsidRPr="004836F6">
        <w:rPr>
          <w:rFonts w:ascii="Bookman Old Style" w:hAnsi="Bookman Old Style"/>
          <w:sz w:val="27"/>
          <w:szCs w:val="27"/>
        </w:rPr>
        <w:t xml:space="preserve">radica en la Fiscalía y en el representante de la víctima. </w:t>
      </w:r>
      <w:r w:rsidR="00195D7C" w:rsidRPr="004836F6">
        <w:rPr>
          <w:rFonts w:ascii="Bookman Old Style" w:hAnsi="Bookman Old Style"/>
          <w:sz w:val="27"/>
          <w:szCs w:val="27"/>
        </w:rPr>
        <w:t xml:space="preserve">Si </w:t>
      </w:r>
      <w:r w:rsidR="001E0B0F" w:rsidRPr="004836F6">
        <w:rPr>
          <w:rFonts w:ascii="Bookman Old Style" w:hAnsi="Bookman Old Style"/>
          <w:sz w:val="27"/>
          <w:szCs w:val="27"/>
        </w:rPr>
        <w:t xml:space="preserve"> dentro de un esquema procesal </w:t>
      </w:r>
      <w:proofErr w:type="spellStart"/>
      <w:r w:rsidR="001E0B0F" w:rsidRPr="004836F6">
        <w:rPr>
          <w:rFonts w:ascii="Bookman Old Style" w:hAnsi="Bookman Old Style"/>
          <w:sz w:val="27"/>
          <w:szCs w:val="27"/>
        </w:rPr>
        <w:t>adversarial</w:t>
      </w:r>
      <w:proofErr w:type="spellEnd"/>
      <w:r w:rsidR="001E0B0F" w:rsidRPr="004836F6">
        <w:rPr>
          <w:rFonts w:ascii="Bookman Old Style" w:hAnsi="Bookman Old Style"/>
          <w:sz w:val="27"/>
          <w:szCs w:val="27"/>
        </w:rPr>
        <w:t xml:space="preserve"> </w:t>
      </w:r>
      <w:r w:rsidR="00195D7C" w:rsidRPr="004836F6">
        <w:rPr>
          <w:rFonts w:ascii="Bookman Old Style" w:hAnsi="Bookman Old Style"/>
          <w:sz w:val="27"/>
          <w:szCs w:val="27"/>
        </w:rPr>
        <w:t xml:space="preserve">el juez carece de competencia para detener </w:t>
      </w:r>
      <w:r w:rsidR="00195D7C" w:rsidRPr="004836F6">
        <w:rPr>
          <w:rFonts w:ascii="Bookman Old Style" w:hAnsi="Bookman Old Style"/>
          <w:i/>
          <w:sz w:val="27"/>
          <w:szCs w:val="27"/>
        </w:rPr>
        <w:t xml:space="preserve">oficiosamente, </w:t>
      </w:r>
      <w:r w:rsidR="00195D7C" w:rsidRPr="004836F6">
        <w:rPr>
          <w:rFonts w:ascii="Bookman Old Style" w:hAnsi="Bookman Old Style"/>
          <w:sz w:val="27"/>
          <w:szCs w:val="27"/>
        </w:rPr>
        <w:t xml:space="preserve">por la misma razón, carece de facultades para </w:t>
      </w:r>
      <w:r w:rsidR="00195D7C" w:rsidRPr="004836F6">
        <w:rPr>
          <w:rFonts w:ascii="Bookman Old Style" w:hAnsi="Bookman Old Style"/>
          <w:i/>
          <w:sz w:val="27"/>
          <w:szCs w:val="27"/>
        </w:rPr>
        <w:t>extender</w:t>
      </w:r>
      <w:r w:rsidR="00195D7C" w:rsidRPr="004836F6">
        <w:rPr>
          <w:rFonts w:ascii="Bookman Old Style" w:hAnsi="Bookman Old Style"/>
          <w:sz w:val="27"/>
          <w:szCs w:val="27"/>
        </w:rPr>
        <w:t xml:space="preserve"> por </w:t>
      </w:r>
      <w:r w:rsidR="001E0B0F" w:rsidRPr="004836F6">
        <w:rPr>
          <w:rFonts w:ascii="Bookman Old Style" w:hAnsi="Bookman Old Style"/>
          <w:sz w:val="27"/>
          <w:szCs w:val="27"/>
        </w:rPr>
        <w:t>sí mismo</w:t>
      </w:r>
      <w:r w:rsidR="00195D7C" w:rsidRPr="004836F6">
        <w:rPr>
          <w:rFonts w:ascii="Bookman Old Style" w:hAnsi="Bookman Old Style"/>
          <w:sz w:val="27"/>
          <w:szCs w:val="27"/>
        </w:rPr>
        <w:t xml:space="preserve"> </w:t>
      </w:r>
      <w:r w:rsidR="0071060C" w:rsidRPr="004836F6">
        <w:rPr>
          <w:rFonts w:ascii="Bookman Old Style" w:hAnsi="Bookman Old Style"/>
          <w:sz w:val="27"/>
          <w:szCs w:val="27"/>
        </w:rPr>
        <w:t xml:space="preserve">la vigencia de la medida. </w:t>
      </w:r>
    </w:p>
    <w:p w:rsidR="00A619E9" w:rsidRPr="004836F6" w:rsidRDefault="00A619E9" w:rsidP="00D82582">
      <w:pPr>
        <w:spacing w:after="0" w:line="336" w:lineRule="auto"/>
        <w:ind w:firstLine="705"/>
        <w:jc w:val="both"/>
        <w:rPr>
          <w:rFonts w:ascii="Bookman Old Style" w:hAnsi="Bookman Old Style"/>
          <w:sz w:val="27"/>
          <w:szCs w:val="27"/>
        </w:rPr>
      </w:pPr>
    </w:p>
    <w:p w:rsidR="00245A3E" w:rsidRPr="004836F6" w:rsidRDefault="001E0B0F" w:rsidP="00D82582">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 xml:space="preserve">Esto </w:t>
      </w:r>
      <w:r w:rsidR="00A619E9" w:rsidRPr="004836F6">
        <w:rPr>
          <w:rFonts w:ascii="Bookman Old Style" w:hAnsi="Bookman Old Style"/>
          <w:sz w:val="27"/>
          <w:szCs w:val="27"/>
        </w:rPr>
        <w:t xml:space="preserve">quiere decir que </w:t>
      </w:r>
      <w:r w:rsidR="00343637" w:rsidRPr="004836F6">
        <w:rPr>
          <w:rFonts w:ascii="Bookman Old Style" w:hAnsi="Bookman Old Style"/>
          <w:sz w:val="27"/>
          <w:szCs w:val="27"/>
        </w:rPr>
        <w:t>e</w:t>
      </w:r>
      <w:r w:rsidR="00BA7FDA" w:rsidRPr="004836F6">
        <w:rPr>
          <w:rFonts w:ascii="Bookman Old Style" w:hAnsi="Bookman Old Style"/>
          <w:sz w:val="27"/>
          <w:szCs w:val="27"/>
        </w:rPr>
        <w:t xml:space="preserve">l fiscal </w:t>
      </w:r>
      <w:r w:rsidR="00343637" w:rsidRPr="004836F6">
        <w:rPr>
          <w:rFonts w:ascii="Bookman Old Style" w:hAnsi="Bookman Old Style"/>
          <w:sz w:val="27"/>
          <w:szCs w:val="27"/>
        </w:rPr>
        <w:t xml:space="preserve">tiene </w:t>
      </w:r>
      <w:r w:rsidR="00BA7FDA" w:rsidRPr="004836F6">
        <w:rPr>
          <w:rFonts w:ascii="Bookman Old Style" w:hAnsi="Bookman Old Style"/>
          <w:sz w:val="27"/>
          <w:szCs w:val="27"/>
        </w:rPr>
        <w:t xml:space="preserve">el deber de asistir a la audiencia preliminar para </w:t>
      </w:r>
      <w:r w:rsidR="002D289B" w:rsidRPr="004836F6">
        <w:rPr>
          <w:rFonts w:ascii="Bookman Old Style" w:hAnsi="Bookman Old Style"/>
          <w:sz w:val="27"/>
          <w:szCs w:val="27"/>
        </w:rPr>
        <w:t xml:space="preserve">que se pronuncie </w:t>
      </w:r>
      <w:r w:rsidR="00245A3E" w:rsidRPr="004836F6">
        <w:rPr>
          <w:rFonts w:ascii="Bookman Old Style" w:hAnsi="Bookman Old Style"/>
          <w:sz w:val="27"/>
          <w:szCs w:val="27"/>
        </w:rPr>
        <w:t>sobre la solicitud</w:t>
      </w:r>
      <w:r w:rsidR="00BA7FDA" w:rsidRPr="004836F6">
        <w:rPr>
          <w:rFonts w:ascii="Bookman Old Style" w:hAnsi="Bookman Old Style"/>
          <w:sz w:val="27"/>
          <w:szCs w:val="27"/>
        </w:rPr>
        <w:t xml:space="preserve"> de sustitución de la detención, diligencia a la que, igualmente, ha de ser citado el representante de las víctimas, cuyos datos </w:t>
      </w:r>
      <w:r w:rsidR="003633B1" w:rsidRPr="004836F6">
        <w:rPr>
          <w:rFonts w:ascii="Bookman Old Style" w:hAnsi="Bookman Old Style"/>
          <w:sz w:val="27"/>
          <w:szCs w:val="27"/>
        </w:rPr>
        <w:t xml:space="preserve">deberán ser </w:t>
      </w:r>
      <w:r w:rsidR="00BA7FDA" w:rsidRPr="004836F6">
        <w:rPr>
          <w:rFonts w:ascii="Bookman Old Style" w:hAnsi="Bookman Old Style"/>
          <w:sz w:val="27"/>
          <w:szCs w:val="27"/>
        </w:rPr>
        <w:t xml:space="preserve">suministrados por la parte solicitante. </w:t>
      </w:r>
      <w:r w:rsidR="00ED1D17" w:rsidRPr="004836F6">
        <w:rPr>
          <w:rFonts w:ascii="Bookman Old Style" w:hAnsi="Bookman Old Style"/>
          <w:sz w:val="27"/>
          <w:szCs w:val="27"/>
        </w:rPr>
        <w:t xml:space="preserve">Ahora, si pese a la debida citación, </w:t>
      </w:r>
      <w:r w:rsidR="00245A3E" w:rsidRPr="004836F6">
        <w:rPr>
          <w:rFonts w:ascii="Bookman Old Style" w:hAnsi="Bookman Old Style"/>
          <w:sz w:val="27"/>
          <w:szCs w:val="27"/>
        </w:rPr>
        <w:t>el fiscal o la víctima se abstienen de solicitar la prórroga del plazo o no demandaron con antelación la extensión del mismo, el juez de control de garantías habrá de aplicar el término máximo de un año</w:t>
      </w:r>
      <w:r w:rsidR="005008F5" w:rsidRPr="004836F6">
        <w:rPr>
          <w:rFonts w:ascii="Bookman Old Style" w:hAnsi="Bookman Old Style"/>
          <w:sz w:val="27"/>
          <w:szCs w:val="27"/>
        </w:rPr>
        <w:t xml:space="preserve"> para decidir sobre la sustitución. </w:t>
      </w:r>
      <w:r w:rsidR="005D08DA" w:rsidRPr="004836F6">
        <w:rPr>
          <w:rFonts w:ascii="Bookman Old Style" w:hAnsi="Bookman Old Style"/>
          <w:sz w:val="27"/>
          <w:szCs w:val="27"/>
        </w:rPr>
        <w:t xml:space="preserve">En tal supuesto, únicamente tendría que verificar el aspecto objetivo referente a la contabilización del </w:t>
      </w:r>
      <w:r w:rsidR="00446472" w:rsidRPr="004836F6">
        <w:rPr>
          <w:rFonts w:ascii="Bookman Old Style" w:hAnsi="Bookman Old Style"/>
          <w:sz w:val="27"/>
          <w:szCs w:val="27"/>
        </w:rPr>
        <w:t>plazo</w:t>
      </w:r>
      <w:r w:rsidR="00FF5C51" w:rsidRPr="004836F6">
        <w:rPr>
          <w:rFonts w:ascii="Bookman Old Style" w:hAnsi="Bookman Old Style"/>
          <w:sz w:val="27"/>
          <w:szCs w:val="27"/>
        </w:rPr>
        <w:t xml:space="preserve">, constatando que </w:t>
      </w:r>
      <w:r w:rsidR="005D08DA" w:rsidRPr="004836F6">
        <w:rPr>
          <w:rFonts w:ascii="Bookman Old Style" w:hAnsi="Bookman Old Style"/>
          <w:sz w:val="27"/>
          <w:szCs w:val="27"/>
        </w:rPr>
        <w:t>no se hayan presentado dilaciones atribuibles al procesado o a la defensa, que incida</w:t>
      </w:r>
      <w:r w:rsidR="00285652" w:rsidRPr="004836F6">
        <w:rPr>
          <w:rFonts w:ascii="Bookman Old Style" w:hAnsi="Bookman Old Style"/>
          <w:sz w:val="27"/>
          <w:szCs w:val="27"/>
        </w:rPr>
        <w:t>n en dicho conteo.</w:t>
      </w:r>
    </w:p>
    <w:p w:rsidR="005D08DA" w:rsidRPr="004836F6" w:rsidRDefault="005D08DA" w:rsidP="00D82582">
      <w:pPr>
        <w:spacing w:after="0" w:line="336" w:lineRule="auto"/>
        <w:ind w:firstLine="705"/>
        <w:jc w:val="both"/>
        <w:rPr>
          <w:rFonts w:ascii="Bookman Old Style" w:hAnsi="Bookman Old Style"/>
          <w:sz w:val="27"/>
          <w:szCs w:val="27"/>
        </w:rPr>
      </w:pPr>
    </w:p>
    <w:p w:rsidR="005D08DA" w:rsidRPr="004836F6" w:rsidRDefault="005D08DA" w:rsidP="00D82582">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ab/>
      </w:r>
      <w:r w:rsidR="000E13A4" w:rsidRPr="004836F6">
        <w:rPr>
          <w:rFonts w:ascii="Bookman Old Style" w:hAnsi="Bookman Old Style"/>
          <w:sz w:val="27"/>
          <w:szCs w:val="27"/>
        </w:rPr>
        <w:t xml:space="preserve">Si, por el contrario, </w:t>
      </w:r>
      <w:r w:rsidR="00AA159C" w:rsidRPr="004836F6">
        <w:rPr>
          <w:rFonts w:ascii="Bookman Old Style" w:hAnsi="Bookman Old Style"/>
          <w:sz w:val="27"/>
          <w:szCs w:val="27"/>
        </w:rPr>
        <w:t>la Fiscalía o la víctima, previamente a la consolidación del término m</w:t>
      </w:r>
      <w:r w:rsidR="00FF63DE" w:rsidRPr="004836F6">
        <w:rPr>
          <w:rFonts w:ascii="Bookman Old Style" w:hAnsi="Bookman Old Style"/>
          <w:sz w:val="27"/>
          <w:szCs w:val="27"/>
        </w:rPr>
        <w:t xml:space="preserve">áximo de vigencia, solicitan la prórroga de éste o, </w:t>
      </w:r>
      <w:r w:rsidR="008B3C07" w:rsidRPr="004836F6">
        <w:rPr>
          <w:rFonts w:ascii="Bookman Old Style" w:hAnsi="Bookman Old Style"/>
          <w:sz w:val="27"/>
          <w:szCs w:val="27"/>
        </w:rPr>
        <w:t>al oponerse a la sustitución en casos donde opere la extensión del plazo, demandan su prolongaci</w:t>
      </w:r>
      <w:r w:rsidR="00CD4503" w:rsidRPr="004836F6">
        <w:rPr>
          <w:rFonts w:ascii="Bookman Old Style" w:hAnsi="Bookman Old Style"/>
          <w:sz w:val="27"/>
          <w:szCs w:val="27"/>
        </w:rPr>
        <w:t xml:space="preserve">ón en audiencia, </w:t>
      </w:r>
      <w:r w:rsidR="00E41077" w:rsidRPr="004836F6">
        <w:rPr>
          <w:rFonts w:ascii="Bookman Old Style" w:hAnsi="Bookman Old Style"/>
          <w:sz w:val="27"/>
          <w:szCs w:val="27"/>
        </w:rPr>
        <w:t xml:space="preserve">esta última solicitud ha de decidirse </w:t>
      </w:r>
      <w:r w:rsidR="00057D68" w:rsidRPr="004836F6">
        <w:rPr>
          <w:rFonts w:ascii="Bookman Old Style" w:hAnsi="Bookman Old Style"/>
          <w:sz w:val="27"/>
          <w:szCs w:val="27"/>
        </w:rPr>
        <w:t xml:space="preserve">teniendo en consideración el término extendido. </w:t>
      </w:r>
    </w:p>
    <w:p w:rsidR="00582FD6" w:rsidRPr="004836F6" w:rsidRDefault="00582FD6" w:rsidP="00D82582">
      <w:pPr>
        <w:spacing w:after="0" w:line="336" w:lineRule="auto"/>
        <w:ind w:firstLine="705"/>
        <w:jc w:val="both"/>
        <w:rPr>
          <w:rFonts w:ascii="Bookman Old Style" w:hAnsi="Bookman Old Style"/>
          <w:sz w:val="27"/>
          <w:szCs w:val="27"/>
        </w:rPr>
      </w:pPr>
    </w:p>
    <w:p w:rsidR="00582FD6" w:rsidRPr="004836F6" w:rsidRDefault="00582FD6" w:rsidP="00582FD6">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 xml:space="preserve">Bien se ve, entonces, que la figura de la prórroga y su condicionamiento a solicitud de parte encuentran justificación en la naturaleza </w:t>
      </w:r>
      <w:proofErr w:type="spellStart"/>
      <w:r w:rsidRPr="004836F6">
        <w:rPr>
          <w:rFonts w:ascii="Bookman Old Style" w:hAnsi="Bookman Old Style"/>
          <w:i/>
          <w:sz w:val="27"/>
          <w:szCs w:val="27"/>
        </w:rPr>
        <w:t>adversarial</w:t>
      </w:r>
      <w:proofErr w:type="spellEnd"/>
      <w:r w:rsidRPr="004836F6">
        <w:rPr>
          <w:rFonts w:ascii="Bookman Old Style" w:hAnsi="Bookman Old Style"/>
          <w:i/>
          <w:sz w:val="27"/>
          <w:szCs w:val="27"/>
        </w:rPr>
        <w:t xml:space="preserve"> </w:t>
      </w:r>
      <w:r w:rsidRPr="004836F6">
        <w:rPr>
          <w:rFonts w:ascii="Bookman Old Style" w:hAnsi="Bookman Old Style"/>
          <w:sz w:val="27"/>
          <w:szCs w:val="27"/>
        </w:rPr>
        <w:t xml:space="preserve">del proceso penal diseñado en la </w:t>
      </w:r>
      <w:r w:rsidRPr="004836F6">
        <w:rPr>
          <w:rFonts w:ascii="Bookman Old Style" w:hAnsi="Bookman Old Style"/>
          <w:sz w:val="27"/>
          <w:szCs w:val="27"/>
        </w:rPr>
        <w:lastRenderedPageBreak/>
        <w:t>Ley 906 de 2004, sin que pueda entenderse, como más adelante se expondrá</w:t>
      </w:r>
      <w:r w:rsidR="00347EEC" w:rsidRPr="004836F6">
        <w:rPr>
          <w:rFonts w:ascii="Bookman Old Style" w:hAnsi="Bookman Old Style"/>
          <w:sz w:val="27"/>
          <w:szCs w:val="27"/>
        </w:rPr>
        <w:t xml:space="preserve"> </w:t>
      </w:r>
      <w:r w:rsidR="00347EEC" w:rsidRPr="004836F6">
        <w:rPr>
          <w:rFonts w:ascii="Bookman Old Style" w:hAnsi="Bookman Old Style"/>
          <w:sz w:val="24"/>
          <w:szCs w:val="24"/>
        </w:rPr>
        <w:t xml:space="preserve">(cfr. </w:t>
      </w:r>
      <w:proofErr w:type="spellStart"/>
      <w:r w:rsidR="00347EEC" w:rsidRPr="004836F6">
        <w:rPr>
          <w:rFonts w:ascii="Bookman Old Style" w:hAnsi="Bookman Old Style"/>
          <w:sz w:val="24"/>
          <w:szCs w:val="24"/>
        </w:rPr>
        <w:t>num</w:t>
      </w:r>
      <w:proofErr w:type="spellEnd"/>
      <w:r w:rsidR="00347EEC" w:rsidRPr="004836F6">
        <w:rPr>
          <w:rFonts w:ascii="Bookman Old Style" w:hAnsi="Bookman Old Style"/>
          <w:sz w:val="24"/>
          <w:szCs w:val="24"/>
        </w:rPr>
        <w:t xml:space="preserve">. 2.5.2 </w:t>
      </w:r>
      <w:r w:rsidR="00347EEC" w:rsidRPr="004836F6">
        <w:rPr>
          <w:rFonts w:ascii="Bookman Old Style" w:hAnsi="Bookman Old Style"/>
          <w:i/>
          <w:sz w:val="24"/>
          <w:szCs w:val="24"/>
        </w:rPr>
        <w:t>infra</w:t>
      </w:r>
      <w:r w:rsidR="00347EEC" w:rsidRPr="004836F6">
        <w:rPr>
          <w:rFonts w:ascii="Bookman Old Style" w:hAnsi="Bookman Old Style"/>
          <w:sz w:val="24"/>
          <w:szCs w:val="24"/>
        </w:rPr>
        <w:t>)</w:t>
      </w:r>
      <w:r w:rsidRPr="004836F6">
        <w:rPr>
          <w:rFonts w:ascii="Bookman Old Style" w:hAnsi="Bookman Old Style"/>
          <w:sz w:val="27"/>
          <w:szCs w:val="27"/>
        </w:rPr>
        <w:t>, que la falta de su declaratoria,</w:t>
      </w:r>
      <w:r w:rsidRPr="004836F6">
        <w:rPr>
          <w:rFonts w:ascii="Bookman Old Style" w:hAnsi="Bookman Old Style"/>
          <w:sz w:val="26"/>
          <w:szCs w:val="26"/>
        </w:rPr>
        <w:t xml:space="preserve"> </w:t>
      </w:r>
      <w:r w:rsidRPr="004836F6">
        <w:rPr>
          <w:rFonts w:ascii="Bookman Old Style" w:hAnsi="Bookman Old Style"/>
          <w:sz w:val="27"/>
          <w:szCs w:val="27"/>
        </w:rPr>
        <w:t xml:space="preserve">dentro del término previsto en el art. 3º de la Ley 1786 de 2016, tiene un efecto </w:t>
      </w:r>
      <w:proofErr w:type="spellStart"/>
      <w:r w:rsidRPr="004836F6">
        <w:rPr>
          <w:rFonts w:ascii="Bookman Old Style" w:hAnsi="Bookman Old Style"/>
          <w:sz w:val="27"/>
          <w:szCs w:val="27"/>
        </w:rPr>
        <w:t>preclusivo</w:t>
      </w:r>
      <w:proofErr w:type="spellEnd"/>
      <w:r w:rsidRPr="004836F6">
        <w:rPr>
          <w:rFonts w:ascii="Bookman Old Style" w:hAnsi="Bookman Old Style"/>
          <w:sz w:val="27"/>
          <w:szCs w:val="27"/>
        </w:rPr>
        <w:t xml:space="preserve"> que impide aplicar el término </w:t>
      </w:r>
      <w:r w:rsidR="00BB3B93" w:rsidRPr="004836F6">
        <w:rPr>
          <w:rFonts w:ascii="Bookman Old Style" w:hAnsi="Bookman Old Style"/>
          <w:sz w:val="27"/>
          <w:szCs w:val="27"/>
        </w:rPr>
        <w:t>ampliado</w:t>
      </w:r>
      <w:r w:rsidRPr="004836F6">
        <w:rPr>
          <w:rFonts w:ascii="Bookman Old Style" w:hAnsi="Bookman Old Style"/>
          <w:sz w:val="27"/>
          <w:szCs w:val="27"/>
        </w:rPr>
        <w:t xml:space="preserve"> de dos años de vigencia de la detención preventiva. </w:t>
      </w:r>
    </w:p>
    <w:p w:rsidR="00BB4401" w:rsidRPr="004836F6" w:rsidRDefault="00BB4401" w:rsidP="00D82582">
      <w:pPr>
        <w:spacing w:after="0" w:line="336" w:lineRule="auto"/>
        <w:ind w:firstLine="705"/>
        <w:jc w:val="both"/>
        <w:rPr>
          <w:rFonts w:ascii="Bookman Old Style" w:hAnsi="Bookman Old Style"/>
          <w:sz w:val="27"/>
          <w:szCs w:val="27"/>
        </w:rPr>
      </w:pPr>
    </w:p>
    <w:p w:rsidR="00BB4401" w:rsidRPr="004836F6" w:rsidRDefault="00BB4401" w:rsidP="00D82582">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 xml:space="preserve">Ahora bien, </w:t>
      </w:r>
      <w:r w:rsidR="00785A07" w:rsidRPr="004836F6">
        <w:rPr>
          <w:rFonts w:ascii="Bookman Old Style" w:hAnsi="Bookman Old Style"/>
          <w:sz w:val="27"/>
          <w:szCs w:val="27"/>
        </w:rPr>
        <w:t xml:space="preserve">tal dinámica no es exigible en procesos gobernados por la Ley 600 de 2000, como quiera que, rigiendo el principio de oficiosidad, </w:t>
      </w:r>
      <w:r w:rsidR="00285652" w:rsidRPr="004836F6">
        <w:rPr>
          <w:rFonts w:ascii="Bookman Old Style" w:hAnsi="Bookman Old Style"/>
          <w:sz w:val="27"/>
          <w:szCs w:val="27"/>
        </w:rPr>
        <w:t>en la fase</w:t>
      </w:r>
      <w:r w:rsidR="00F631F2" w:rsidRPr="004836F6">
        <w:rPr>
          <w:rFonts w:ascii="Bookman Old Style" w:hAnsi="Bookman Old Style"/>
          <w:sz w:val="27"/>
          <w:szCs w:val="27"/>
        </w:rPr>
        <w:t xml:space="preserve"> de</w:t>
      </w:r>
      <w:r w:rsidR="00285652" w:rsidRPr="004836F6">
        <w:rPr>
          <w:rFonts w:ascii="Bookman Old Style" w:hAnsi="Bookman Old Style"/>
          <w:sz w:val="27"/>
          <w:szCs w:val="27"/>
        </w:rPr>
        <w:t xml:space="preserve"> investigaci</w:t>
      </w:r>
      <w:r w:rsidR="00E51E1D" w:rsidRPr="004836F6">
        <w:rPr>
          <w:rFonts w:ascii="Bookman Old Style" w:hAnsi="Bookman Old Style"/>
          <w:sz w:val="27"/>
          <w:szCs w:val="27"/>
        </w:rPr>
        <w:t>ón</w:t>
      </w:r>
      <w:r w:rsidR="00285652" w:rsidRPr="004836F6">
        <w:rPr>
          <w:rFonts w:ascii="Bookman Old Style" w:hAnsi="Bookman Old Style"/>
          <w:sz w:val="27"/>
          <w:szCs w:val="27"/>
        </w:rPr>
        <w:t xml:space="preserve"> el fiscal es competente para decidir con autonomía sobre la privación cautelar de la libertad personal, mientras que, en </w:t>
      </w:r>
      <w:r w:rsidR="00E51E1D" w:rsidRPr="004836F6">
        <w:rPr>
          <w:rFonts w:ascii="Bookman Old Style" w:hAnsi="Bookman Old Style"/>
          <w:sz w:val="27"/>
          <w:szCs w:val="27"/>
        </w:rPr>
        <w:t>etapa</w:t>
      </w:r>
      <w:r w:rsidR="00285652" w:rsidRPr="004836F6">
        <w:rPr>
          <w:rFonts w:ascii="Bookman Old Style" w:hAnsi="Bookman Old Style"/>
          <w:sz w:val="27"/>
          <w:szCs w:val="27"/>
        </w:rPr>
        <w:t xml:space="preserve"> de juicio, al adquirir aquél la condición de sujeto procesal, es el juez el encargado de velar porque se cumpla con las finalidades constitucionales y legales asignadas a las medidas de aseguramiento. </w:t>
      </w:r>
    </w:p>
    <w:p w:rsidR="00285652" w:rsidRPr="004836F6" w:rsidRDefault="00285652" w:rsidP="00D82582">
      <w:pPr>
        <w:spacing w:after="0" w:line="336" w:lineRule="auto"/>
        <w:ind w:firstLine="705"/>
        <w:jc w:val="both"/>
        <w:rPr>
          <w:rFonts w:ascii="Bookman Old Style" w:hAnsi="Bookman Old Style"/>
          <w:sz w:val="27"/>
          <w:szCs w:val="27"/>
        </w:rPr>
      </w:pPr>
    </w:p>
    <w:p w:rsidR="00285652" w:rsidRPr="004836F6" w:rsidRDefault="00285652" w:rsidP="00D82582">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ab/>
      </w:r>
      <w:r w:rsidR="00CD7102" w:rsidRPr="004836F6">
        <w:rPr>
          <w:rFonts w:ascii="Bookman Old Style" w:hAnsi="Bookman Old Style"/>
          <w:sz w:val="27"/>
          <w:szCs w:val="27"/>
        </w:rPr>
        <w:t xml:space="preserve">En esa dirección, </w:t>
      </w:r>
      <w:r w:rsidR="00C02778" w:rsidRPr="004836F6">
        <w:rPr>
          <w:rFonts w:ascii="Bookman Old Style" w:hAnsi="Bookman Old Style"/>
          <w:sz w:val="27"/>
          <w:szCs w:val="27"/>
        </w:rPr>
        <w:t xml:space="preserve">la prórroga del término máximo de vigencia de la detención preventiva adquiere un cariz </w:t>
      </w:r>
      <w:r w:rsidR="00F20190" w:rsidRPr="004836F6">
        <w:rPr>
          <w:rFonts w:ascii="Bookman Old Style" w:hAnsi="Bookman Old Style"/>
          <w:sz w:val="27"/>
          <w:szCs w:val="27"/>
        </w:rPr>
        <w:t xml:space="preserve">diverso: dada la posibilidad de su extensión oficiosa, prácticamente opera de pleno derecho y habrá de ser considerado por el funcionario respectivo </w:t>
      </w:r>
      <w:r w:rsidR="00F20190" w:rsidRPr="004836F6">
        <w:rPr>
          <w:rFonts w:ascii="Bookman Old Style" w:hAnsi="Bookman Old Style"/>
          <w:sz w:val="25"/>
          <w:szCs w:val="25"/>
        </w:rPr>
        <w:t xml:space="preserve">-fiscal o juez de la causa- </w:t>
      </w:r>
      <w:r w:rsidR="00F20190" w:rsidRPr="004836F6">
        <w:rPr>
          <w:rFonts w:ascii="Bookman Old Style" w:hAnsi="Bookman Old Style"/>
          <w:sz w:val="27"/>
          <w:szCs w:val="27"/>
        </w:rPr>
        <w:t xml:space="preserve">al momento de decidir sobre la sustitución de la medida. </w:t>
      </w:r>
    </w:p>
    <w:p w:rsidR="00B43AD4" w:rsidRPr="004836F6" w:rsidRDefault="00B43AD4" w:rsidP="00D82582">
      <w:pPr>
        <w:spacing w:after="0" w:line="336" w:lineRule="auto"/>
        <w:ind w:firstLine="705"/>
        <w:jc w:val="both"/>
        <w:rPr>
          <w:rFonts w:ascii="Bookman Old Style" w:hAnsi="Bookman Old Style"/>
          <w:sz w:val="27"/>
          <w:szCs w:val="27"/>
        </w:rPr>
      </w:pPr>
    </w:p>
    <w:p w:rsidR="00B43AD4" w:rsidRPr="004836F6" w:rsidRDefault="00B43AD4" w:rsidP="00D82582">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 xml:space="preserve">Por último, ha de destacarse que, en ambos esquemas procesales, </w:t>
      </w:r>
      <w:r w:rsidR="008A1882" w:rsidRPr="004836F6">
        <w:rPr>
          <w:rFonts w:ascii="Bookman Old Style" w:hAnsi="Bookman Old Style"/>
          <w:sz w:val="27"/>
          <w:szCs w:val="27"/>
        </w:rPr>
        <w:t xml:space="preserve">la figura del </w:t>
      </w:r>
      <w:r w:rsidR="008A1882" w:rsidRPr="004836F6">
        <w:rPr>
          <w:rFonts w:ascii="Bookman Old Style" w:hAnsi="Bookman Old Style"/>
          <w:i/>
          <w:sz w:val="27"/>
          <w:szCs w:val="27"/>
        </w:rPr>
        <w:t>levantamiento</w:t>
      </w:r>
      <w:r w:rsidR="008A1882" w:rsidRPr="004836F6">
        <w:rPr>
          <w:rFonts w:ascii="Bookman Old Style" w:hAnsi="Bookman Old Style"/>
          <w:sz w:val="27"/>
          <w:szCs w:val="27"/>
        </w:rPr>
        <w:t xml:space="preserve"> o revocatoria de la detención</w:t>
      </w:r>
      <w:r w:rsidR="00455E00" w:rsidRPr="004836F6">
        <w:rPr>
          <w:rFonts w:ascii="Bookman Old Style" w:hAnsi="Bookman Old Style"/>
          <w:sz w:val="27"/>
          <w:szCs w:val="27"/>
        </w:rPr>
        <w:t>, mencionada en el art. 1º inc. 2</w:t>
      </w:r>
      <w:r w:rsidR="0048030F" w:rsidRPr="004836F6">
        <w:rPr>
          <w:rFonts w:ascii="Bookman Old Style" w:hAnsi="Bookman Old Style"/>
          <w:sz w:val="27"/>
          <w:szCs w:val="27"/>
        </w:rPr>
        <w:t>º de la Ley 1786 de 2016</w:t>
      </w:r>
      <w:r w:rsidR="008A1882" w:rsidRPr="004836F6">
        <w:rPr>
          <w:rFonts w:ascii="Bookman Old Style" w:hAnsi="Bookman Old Style"/>
          <w:sz w:val="27"/>
          <w:szCs w:val="27"/>
        </w:rPr>
        <w:t xml:space="preserve"> </w:t>
      </w:r>
      <w:r w:rsidR="0048030F" w:rsidRPr="004836F6">
        <w:rPr>
          <w:rFonts w:ascii="Bookman Old Style" w:hAnsi="Bookman Old Style"/>
          <w:sz w:val="25"/>
          <w:szCs w:val="25"/>
        </w:rPr>
        <w:t>-</w:t>
      </w:r>
      <w:r w:rsidR="00455E00" w:rsidRPr="004836F6">
        <w:rPr>
          <w:rFonts w:ascii="Bookman Old Style" w:hAnsi="Bookman Old Style"/>
          <w:sz w:val="25"/>
          <w:szCs w:val="25"/>
        </w:rPr>
        <w:t xml:space="preserve">distinta a la </w:t>
      </w:r>
      <w:r w:rsidR="00455E00" w:rsidRPr="004836F6">
        <w:rPr>
          <w:rFonts w:ascii="Bookman Old Style" w:hAnsi="Bookman Old Style"/>
          <w:i/>
          <w:sz w:val="25"/>
          <w:szCs w:val="25"/>
        </w:rPr>
        <w:t>sustitución</w:t>
      </w:r>
      <w:r w:rsidR="0048030F" w:rsidRPr="004836F6">
        <w:rPr>
          <w:rFonts w:ascii="Bookman Old Style" w:hAnsi="Bookman Old Style"/>
          <w:i/>
          <w:sz w:val="25"/>
          <w:szCs w:val="25"/>
        </w:rPr>
        <w:t>-</w:t>
      </w:r>
      <w:r w:rsidR="0048030F" w:rsidRPr="004836F6">
        <w:rPr>
          <w:rFonts w:ascii="Bookman Old Style" w:hAnsi="Bookman Old Style"/>
          <w:i/>
          <w:sz w:val="27"/>
          <w:szCs w:val="27"/>
        </w:rPr>
        <w:t xml:space="preserve"> </w:t>
      </w:r>
      <w:r w:rsidR="00455E00" w:rsidRPr="004836F6">
        <w:rPr>
          <w:rFonts w:ascii="Bookman Old Style" w:hAnsi="Bookman Old Style"/>
          <w:i/>
          <w:sz w:val="27"/>
          <w:szCs w:val="27"/>
        </w:rPr>
        <w:t xml:space="preserve"> </w:t>
      </w:r>
      <w:r w:rsidR="008A1882" w:rsidRPr="004836F6">
        <w:rPr>
          <w:rFonts w:ascii="Bookman Old Style" w:hAnsi="Bookman Old Style"/>
          <w:sz w:val="27"/>
          <w:szCs w:val="27"/>
        </w:rPr>
        <w:t>se subordina al examen sobre la permanencia de los fundament</w:t>
      </w:r>
      <w:r w:rsidR="00455E00" w:rsidRPr="004836F6">
        <w:rPr>
          <w:rFonts w:ascii="Bookman Old Style" w:hAnsi="Bookman Old Style"/>
          <w:sz w:val="27"/>
          <w:szCs w:val="27"/>
        </w:rPr>
        <w:t>os materiales que permitieron la</w:t>
      </w:r>
      <w:r w:rsidR="008A1882" w:rsidRPr="004836F6">
        <w:rPr>
          <w:rFonts w:ascii="Bookman Old Style" w:hAnsi="Bookman Old Style"/>
          <w:sz w:val="27"/>
          <w:szCs w:val="27"/>
        </w:rPr>
        <w:t xml:space="preserve"> imposición</w:t>
      </w:r>
      <w:r w:rsidR="00455E00" w:rsidRPr="004836F6">
        <w:rPr>
          <w:rFonts w:ascii="Bookman Old Style" w:hAnsi="Bookman Old Style"/>
          <w:sz w:val="27"/>
          <w:szCs w:val="27"/>
        </w:rPr>
        <w:t xml:space="preserve"> de la detención</w:t>
      </w:r>
      <w:r w:rsidR="008A1882" w:rsidRPr="004836F6">
        <w:rPr>
          <w:rFonts w:ascii="Bookman Old Style" w:hAnsi="Bookman Old Style"/>
          <w:sz w:val="27"/>
          <w:szCs w:val="27"/>
        </w:rPr>
        <w:t xml:space="preserve">, así como </w:t>
      </w:r>
      <w:r w:rsidR="00582FD6" w:rsidRPr="004836F6">
        <w:rPr>
          <w:rFonts w:ascii="Bookman Old Style" w:hAnsi="Bookman Old Style"/>
          <w:sz w:val="27"/>
          <w:szCs w:val="27"/>
        </w:rPr>
        <w:t>a</w:t>
      </w:r>
      <w:r w:rsidR="008A1882" w:rsidRPr="004836F6">
        <w:rPr>
          <w:rFonts w:ascii="Bookman Old Style" w:hAnsi="Bookman Old Style"/>
          <w:sz w:val="27"/>
          <w:szCs w:val="27"/>
        </w:rPr>
        <w:t xml:space="preserve"> la necesidad de seguir cumpliendo alguna de las finalidades por las cuales se decretó </w:t>
      </w:r>
      <w:r w:rsidR="008A1882" w:rsidRPr="004836F6">
        <w:rPr>
          <w:rFonts w:ascii="Bookman Old Style" w:hAnsi="Bookman Old Style"/>
          <w:sz w:val="24"/>
          <w:szCs w:val="24"/>
        </w:rPr>
        <w:t>(art. 308 de la Ley 906 de 2004 o arts. 355 y 356 de la Ley 600 de 2000</w:t>
      </w:r>
      <w:r w:rsidR="003C2E55" w:rsidRPr="004836F6">
        <w:rPr>
          <w:rFonts w:ascii="Bookman Old Style" w:hAnsi="Bookman Old Style"/>
          <w:sz w:val="24"/>
          <w:szCs w:val="24"/>
        </w:rPr>
        <w:t>, respectivamente</w:t>
      </w:r>
      <w:r w:rsidR="008A1882" w:rsidRPr="004836F6">
        <w:rPr>
          <w:rFonts w:ascii="Bookman Old Style" w:hAnsi="Bookman Old Style"/>
          <w:sz w:val="24"/>
          <w:szCs w:val="24"/>
        </w:rPr>
        <w:t>).</w:t>
      </w:r>
      <w:r w:rsidR="008A1882" w:rsidRPr="004836F6">
        <w:rPr>
          <w:rFonts w:ascii="Bookman Old Style" w:hAnsi="Bookman Old Style"/>
          <w:sz w:val="27"/>
          <w:szCs w:val="27"/>
        </w:rPr>
        <w:t xml:space="preserve">   </w:t>
      </w:r>
    </w:p>
    <w:p w:rsidR="00784D27" w:rsidRPr="004836F6" w:rsidRDefault="008364AD" w:rsidP="00CB7766">
      <w:pPr>
        <w:spacing w:after="0" w:line="336" w:lineRule="auto"/>
        <w:ind w:firstLine="705"/>
        <w:jc w:val="both"/>
        <w:rPr>
          <w:rFonts w:ascii="Bookman Old Style" w:hAnsi="Bookman Old Style"/>
          <w:b/>
          <w:sz w:val="27"/>
          <w:szCs w:val="27"/>
        </w:rPr>
      </w:pPr>
      <w:r w:rsidRPr="004836F6">
        <w:rPr>
          <w:rFonts w:ascii="Bookman Old Style" w:hAnsi="Bookman Old Style"/>
          <w:b/>
          <w:sz w:val="27"/>
          <w:szCs w:val="27"/>
        </w:rPr>
        <w:lastRenderedPageBreak/>
        <w:t xml:space="preserve">2.5 Análisis de las providencias cuestionadas </w:t>
      </w:r>
      <w:r w:rsidR="00432915" w:rsidRPr="004836F6">
        <w:rPr>
          <w:rFonts w:ascii="Bookman Old Style" w:hAnsi="Bookman Old Style"/>
          <w:b/>
          <w:sz w:val="27"/>
          <w:szCs w:val="27"/>
        </w:rPr>
        <w:t xml:space="preserve"> </w:t>
      </w:r>
    </w:p>
    <w:p w:rsidR="008364AD" w:rsidRPr="004836F6" w:rsidRDefault="008364AD" w:rsidP="00CB7766">
      <w:pPr>
        <w:spacing w:after="0" w:line="336" w:lineRule="auto"/>
        <w:ind w:firstLine="705"/>
        <w:jc w:val="both"/>
        <w:rPr>
          <w:rFonts w:ascii="Bookman Old Style" w:hAnsi="Bookman Old Style"/>
          <w:b/>
          <w:sz w:val="27"/>
          <w:szCs w:val="27"/>
        </w:rPr>
      </w:pPr>
    </w:p>
    <w:p w:rsidR="009B2A75" w:rsidRPr="004836F6" w:rsidRDefault="008F0FB7" w:rsidP="00CB7766">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 xml:space="preserve">SANTIAGO URIBE VÉLEZ está privado de la libertad, por cuenta del proceso que cursa en su contra ante el Juzgado Primero Penal del Circuito Especializado de Antioquia, desde el </w:t>
      </w:r>
      <w:r w:rsidRPr="004836F6">
        <w:rPr>
          <w:rFonts w:ascii="Bookman Old Style" w:hAnsi="Bookman Old Style"/>
          <w:b/>
          <w:sz w:val="27"/>
          <w:szCs w:val="27"/>
        </w:rPr>
        <w:t>29 de febrero de 2016</w:t>
      </w:r>
      <w:r w:rsidRPr="004836F6">
        <w:rPr>
          <w:rStyle w:val="Refdenotaalpie"/>
          <w:rFonts w:ascii="Bookman Old Style" w:hAnsi="Bookman Old Style"/>
          <w:sz w:val="27"/>
          <w:szCs w:val="27"/>
        </w:rPr>
        <w:footnoteReference w:id="13"/>
      </w:r>
      <w:r w:rsidRPr="004836F6">
        <w:rPr>
          <w:rFonts w:ascii="Bookman Old Style" w:hAnsi="Bookman Old Style"/>
          <w:sz w:val="27"/>
          <w:szCs w:val="27"/>
        </w:rPr>
        <w:t>.</w:t>
      </w:r>
    </w:p>
    <w:p w:rsidR="00150F8F" w:rsidRPr="004836F6" w:rsidRDefault="00150F8F" w:rsidP="00CB7766">
      <w:pPr>
        <w:spacing w:after="0" w:line="336" w:lineRule="auto"/>
        <w:ind w:firstLine="705"/>
        <w:jc w:val="both"/>
        <w:rPr>
          <w:rFonts w:ascii="Bookman Old Style" w:hAnsi="Bookman Old Style"/>
          <w:sz w:val="27"/>
          <w:szCs w:val="27"/>
        </w:rPr>
      </w:pPr>
    </w:p>
    <w:p w:rsidR="00315FB3" w:rsidRPr="004836F6" w:rsidRDefault="00CD29CF" w:rsidP="00315FB3">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La medida de aseguramiento</w:t>
      </w:r>
      <w:r w:rsidR="008C5A5E" w:rsidRPr="004836F6">
        <w:rPr>
          <w:rFonts w:ascii="Bookman Old Style" w:hAnsi="Bookman Old Style"/>
          <w:sz w:val="27"/>
          <w:szCs w:val="27"/>
        </w:rPr>
        <w:t xml:space="preserve"> que le fue</w:t>
      </w:r>
      <w:r w:rsidRPr="004836F6">
        <w:rPr>
          <w:rFonts w:ascii="Bookman Old Style" w:hAnsi="Bookman Old Style"/>
          <w:sz w:val="27"/>
          <w:szCs w:val="27"/>
        </w:rPr>
        <w:t xml:space="preserve"> impuesta</w:t>
      </w:r>
      <w:r w:rsidR="00EF3E03" w:rsidRPr="004836F6">
        <w:rPr>
          <w:rFonts w:ascii="Bookman Old Style" w:hAnsi="Bookman Old Style"/>
          <w:sz w:val="27"/>
          <w:szCs w:val="27"/>
        </w:rPr>
        <w:t>, en línea de principio,</w:t>
      </w:r>
      <w:r w:rsidRPr="004836F6">
        <w:rPr>
          <w:rFonts w:ascii="Bookman Old Style" w:hAnsi="Bookman Old Style"/>
          <w:sz w:val="27"/>
          <w:szCs w:val="27"/>
        </w:rPr>
        <w:t xml:space="preserve"> tenía vigencia hasta el </w:t>
      </w:r>
      <w:r w:rsidRPr="004836F6">
        <w:rPr>
          <w:rFonts w:ascii="Bookman Old Style" w:hAnsi="Bookman Old Style"/>
          <w:b/>
          <w:sz w:val="27"/>
          <w:szCs w:val="27"/>
        </w:rPr>
        <w:t>29 de febrero de 2017</w:t>
      </w:r>
      <w:r w:rsidR="00EF3E03" w:rsidRPr="004836F6">
        <w:rPr>
          <w:rFonts w:ascii="Bookman Old Style" w:hAnsi="Bookman Old Style"/>
          <w:sz w:val="27"/>
          <w:szCs w:val="27"/>
        </w:rPr>
        <w:t>, según el art. 1º de la Ley 1786 de 2016.</w:t>
      </w:r>
      <w:r w:rsidRPr="004836F6">
        <w:rPr>
          <w:rFonts w:ascii="Bookman Old Style" w:hAnsi="Bookman Old Style"/>
          <w:sz w:val="27"/>
          <w:szCs w:val="27"/>
        </w:rPr>
        <w:t xml:space="preserve">  Para ese momento, el asunto se encontraba en </w:t>
      </w:r>
      <w:r w:rsidRPr="004836F6">
        <w:rPr>
          <w:rFonts w:ascii="Bookman Old Style" w:hAnsi="Bookman Old Style"/>
          <w:i/>
          <w:sz w:val="27"/>
          <w:szCs w:val="27"/>
        </w:rPr>
        <w:t>fase de instrucción</w:t>
      </w:r>
      <w:r w:rsidRPr="004836F6">
        <w:rPr>
          <w:rStyle w:val="Refdenotaalpie"/>
          <w:rFonts w:ascii="Bookman Old Style" w:hAnsi="Bookman Old Style"/>
          <w:sz w:val="27"/>
          <w:szCs w:val="27"/>
        </w:rPr>
        <w:footnoteReference w:id="14"/>
      </w:r>
      <w:r w:rsidR="00EF3E03" w:rsidRPr="004836F6">
        <w:rPr>
          <w:rFonts w:ascii="Bookman Old Style" w:hAnsi="Bookman Old Style"/>
          <w:sz w:val="27"/>
          <w:szCs w:val="27"/>
        </w:rPr>
        <w:t>.</w:t>
      </w:r>
      <w:r w:rsidR="00315FB3" w:rsidRPr="004836F6">
        <w:rPr>
          <w:rFonts w:ascii="Bookman Old Style" w:hAnsi="Bookman Old Style"/>
          <w:sz w:val="27"/>
          <w:szCs w:val="27"/>
        </w:rPr>
        <w:t xml:space="preserve"> Sin embargo, a través del auto del 11 de agosto de 2017, </w:t>
      </w:r>
      <w:r w:rsidR="00002359" w:rsidRPr="004836F6">
        <w:rPr>
          <w:rFonts w:ascii="Bookman Old Style" w:hAnsi="Bookman Old Style"/>
          <w:sz w:val="27"/>
          <w:szCs w:val="27"/>
        </w:rPr>
        <w:t>se</w:t>
      </w:r>
      <w:r w:rsidR="00315FB3" w:rsidRPr="004836F6">
        <w:rPr>
          <w:rFonts w:ascii="Bookman Old Style" w:hAnsi="Bookman Old Style"/>
          <w:sz w:val="27"/>
          <w:szCs w:val="27"/>
        </w:rPr>
        <w:t xml:space="preserve"> negó la sustitución de la detención. El juez resolvió </w:t>
      </w:r>
      <w:r w:rsidR="00315FB3" w:rsidRPr="004836F6">
        <w:rPr>
          <w:rFonts w:ascii="Bookman Old Style" w:hAnsi="Bookman Old Style"/>
          <w:i/>
          <w:sz w:val="27"/>
          <w:szCs w:val="27"/>
        </w:rPr>
        <w:t>«prorrogar la medida de aseguramiento de conformidad con el artículo 1º de la ley 1786 d</w:t>
      </w:r>
      <w:r w:rsidR="00002359" w:rsidRPr="004836F6">
        <w:rPr>
          <w:rFonts w:ascii="Bookman Old Style" w:hAnsi="Bookman Old Style"/>
          <w:i/>
          <w:sz w:val="27"/>
          <w:szCs w:val="27"/>
        </w:rPr>
        <w:t>e 2016</w:t>
      </w:r>
      <w:r w:rsidR="00315FB3" w:rsidRPr="004836F6">
        <w:rPr>
          <w:rFonts w:ascii="Bookman Old Style" w:hAnsi="Bookman Old Style"/>
          <w:i/>
          <w:sz w:val="27"/>
          <w:szCs w:val="27"/>
        </w:rPr>
        <w:t xml:space="preserve"> y el pronunciamiento de la Sala Penal de la Corte Suprema de Justicia radicado 49.734 del 24 de julio de 2017, por el término de un año»</w:t>
      </w:r>
      <w:r w:rsidR="00315FB3" w:rsidRPr="004836F6">
        <w:rPr>
          <w:rFonts w:ascii="Bookman Old Style" w:hAnsi="Bookman Old Style"/>
          <w:sz w:val="27"/>
          <w:szCs w:val="27"/>
        </w:rPr>
        <w:t>, bajo las siguientes consideraciones:</w:t>
      </w:r>
    </w:p>
    <w:p w:rsidR="00002359" w:rsidRPr="004836F6" w:rsidRDefault="00002359" w:rsidP="00315FB3">
      <w:pPr>
        <w:spacing w:after="0" w:line="336" w:lineRule="auto"/>
        <w:ind w:firstLine="705"/>
        <w:jc w:val="both"/>
        <w:rPr>
          <w:rFonts w:ascii="Bookman Old Style" w:hAnsi="Bookman Old Style"/>
          <w:sz w:val="27"/>
          <w:szCs w:val="27"/>
        </w:rPr>
      </w:pPr>
    </w:p>
    <w:p w:rsidR="00315FB3" w:rsidRPr="004836F6" w:rsidRDefault="00315FB3" w:rsidP="00347EEC">
      <w:pPr>
        <w:spacing w:after="0" w:line="240" w:lineRule="auto"/>
        <w:ind w:left="705" w:right="618"/>
        <w:jc w:val="both"/>
        <w:rPr>
          <w:rFonts w:ascii="Bookman Old Style" w:hAnsi="Bookman Old Style"/>
          <w:sz w:val="24"/>
          <w:szCs w:val="24"/>
        </w:rPr>
      </w:pPr>
      <w:r w:rsidRPr="004836F6">
        <w:rPr>
          <w:rFonts w:ascii="Bookman Old Style" w:hAnsi="Bookman Old Style"/>
          <w:sz w:val="24"/>
          <w:szCs w:val="24"/>
        </w:rPr>
        <w:t xml:space="preserve">Concluye este despacho al respecto que </w:t>
      </w:r>
      <w:r w:rsidRPr="004836F6">
        <w:rPr>
          <w:rFonts w:ascii="Bookman Old Style" w:hAnsi="Bookman Old Style"/>
          <w:i/>
          <w:sz w:val="24"/>
          <w:szCs w:val="24"/>
        </w:rPr>
        <w:t>sólo ahora, con el pronunciamiento de la Corte Suprema de Justicia, nace la obligación de verificar la procedencia o solicitar la prórroga</w:t>
      </w:r>
      <w:r w:rsidRPr="004836F6">
        <w:rPr>
          <w:rFonts w:ascii="Bookman Old Style" w:hAnsi="Bookman Old Style"/>
          <w:sz w:val="24"/>
          <w:szCs w:val="24"/>
        </w:rPr>
        <w:t xml:space="preserve"> de la medida de asegura</w:t>
      </w:r>
      <w:r w:rsidR="00675462" w:rsidRPr="004836F6">
        <w:rPr>
          <w:rFonts w:ascii="Bookman Old Style" w:hAnsi="Bookman Old Style"/>
          <w:sz w:val="24"/>
          <w:szCs w:val="24"/>
        </w:rPr>
        <w:t xml:space="preserve">miento privativa de la libertad </w:t>
      </w:r>
      <w:r w:rsidRPr="004836F6">
        <w:rPr>
          <w:rFonts w:ascii="Bookman Old Style" w:hAnsi="Bookman Old Style"/>
          <w:sz w:val="24"/>
          <w:szCs w:val="24"/>
        </w:rPr>
        <w:t>en los procesos surtidos bajo los parámetros de la ley 600 de 2000.</w:t>
      </w:r>
    </w:p>
    <w:p w:rsidR="00315FB3" w:rsidRPr="004836F6" w:rsidRDefault="00315FB3" w:rsidP="008F0DDB">
      <w:pPr>
        <w:spacing w:after="0" w:line="240" w:lineRule="auto"/>
        <w:ind w:left="705" w:right="476" w:firstLine="705"/>
        <w:jc w:val="both"/>
        <w:rPr>
          <w:rFonts w:ascii="Bookman Old Style" w:hAnsi="Bookman Old Style"/>
          <w:sz w:val="24"/>
          <w:szCs w:val="24"/>
        </w:rPr>
      </w:pPr>
    </w:p>
    <w:p w:rsidR="00315FB3" w:rsidRPr="004836F6" w:rsidRDefault="00315FB3" w:rsidP="00347EEC">
      <w:pPr>
        <w:spacing w:after="0" w:line="240" w:lineRule="auto"/>
        <w:ind w:left="705" w:right="618"/>
        <w:jc w:val="both"/>
        <w:rPr>
          <w:rFonts w:ascii="Bookman Old Style" w:hAnsi="Bookman Old Style"/>
          <w:sz w:val="24"/>
          <w:szCs w:val="24"/>
        </w:rPr>
      </w:pPr>
      <w:r w:rsidRPr="004836F6">
        <w:rPr>
          <w:rFonts w:ascii="Bookman Old Style" w:hAnsi="Bookman Old Style"/>
          <w:sz w:val="24"/>
          <w:szCs w:val="24"/>
        </w:rPr>
        <w:t xml:space="preserve">Y como bien lo decantó la Honorable Sala, dado que en procesos como el presente, adelantados bajo la ley 600 de 2000, no se encuentra dispuesta la figura del Juez con funciones de Control de Garantías, el competente para analizar la prórroga de la medida de aseguramiento es el Fiscal instructor en la etapa investigativa o el Juez de conocimiento en la etapa de juzgamiento, tal y como lo expone la </w:t>
      </w:r>
      <w:proofErr w:type="spellStart"/>
      <w:r w:rsidRPr="004836F6">
        <w:rPr>
          <w:rFonts w:ascii="Bookman Old Style" w:hAnsi="Bookman Old Style"/>
          <w:sz w:val="24"/>
          <w:szCs w:val="24"/>
        </w:rPr>
        <w:t>pluricitada</w:t>
      </w:r>
      <w:proofErr w:type="spellEnd"/>
      <w:r w:rsidRPr="004836F6">
        <w:rPr>
          <w:rFonts w:ascii="Bookman Old Style" w:hAnsi="Bookman Old Style"/>
          <w:sz w:val="24"/>
          <w:szCs w:val="24"/>
        </w:rPr>
        <w:t xml:space="preserve"> sentencia</w:t>
      </w:r>
      <w:r w:rsidR="00347EEC" w:rsidRPr="004836F6">
        <w:rPr>
          <w:rFonts w:ascii="Bookman Old Style" w:hAnsi="Bookman Old Style"/>
          <w:sz w:val="24"/>
          <w:szCs w:val="24"/>
        </w:rPr>
        <w:t xml:space="preserve"> (sic)</w:t>
      </w:r>
      <w:r w:rsidRPr="004836F6">
        <w:rPr>
          <w:rFonts w:ascii="Bookman Old Style" w:hAnsi="Bookman Old Style"/>
          <w:sz w:val="24"/>
          <w:szCs w:val="24"/>
        </w:rPr>
        <w:t xml:space="preserve"> 49.734:</w:t>
      </w:r>
    </w:p>
    <w:p w:rsidR="00315FB3" w:rsidRPr="004836F6" w:rsidRDefault="00315FB3" w:rsidP="00347EEC">
      <w:pPr>
        <w:spacing w:after="0" w:line="240" w:lineRule="auto"/>
        <w:ind w:left="705" w:right="618" w:firstLine="705"/>
        <w:jc w:val="both"/>
        <w:rPr>
          <w:rFonts w:ascii="Bookman Old Style" w:hAnsi="Bookman Old Style"/>
          <w:sz w:val="24"/>
          <w:szCs w:val="24"/>
        </w:rPr>
      </w:pPr>
    </w:p>
    <w:p w:rsidR="00315FB3" w:rsidRPr="004836F6" w:rsidRDefault="00315FB3" w:rsidP="00347EEC">
      <w:pPr>
        <w:spacing w:after="0" w:line="240" w:lineRule="auto"/>
        <w:ind w:right="618" w:firstLine="705"/>
        <w:jc w:val="both"/>
        <w:rPr>
          <w:rFonts w:ascii="Bookman Old Style" w:hAnsi="Bookman Old Style"/>
          <w:sz w:val="24"/>
          <w:szCs w:val="24"/>
        </w:rPr>
      </w:pPr>
      <w:r w:rsidRPr="004836F6">
        <w:rPr>
          <w:rFonts w:ascii="Bookman Old Style" w:hAnsi="Bookman Old Style"/>
          <w:sz w:val="24"/>
          <w:szCs w:val="24"/>
        </w:rPr>
        <w:t>(…)</w:t>
      </w:r>
    </w:p>
    <w:p w:rsidR="00315FB3" w:rsidRPr="004836F6" w:rsidRDefault="00315FB3" w:rsidP="00347EEC">
      <w:pPr>
        <w:spacing w:after="0" w:line="240" w:lineRule="auto"/>
        <w:ind w:left="705" w:right="618" w:firstLine="705"/>
        <w:jc w:val="both"/>
        <w:rPr>
          <w:rFonts w:ascii="Bookman Old Style" w:hAnsi="Bookman Old Style"/>
          <w:sz w:val="24"/>
          <w:szCs w:val="24"/>
        </w:rPr>
      </w:pPr>
    </w:p>
    <w:p w:rsidR="00315FB3" w:rsidRPr="004836F6" w:rsidRDefault="00315FB3" w:rsidP="00347EEC">
      <w:pPr>
        <w:spacing w:after="0" w:line="240" w:lineRule="auto"/>
        <w:ind w:left="705" w:right="618"/>
        <w:jc w:val="both"/>
        <w:rPr>
          <w:rFonts w:ascii="Bookman Old Style" w:hAnsi="Bookman Old Style"/>
          <w:sz w:val="24"/>
          <w:szCs w:val="24"/>
        </w:rPr>
      </w:pPr>
      <w:r w:rsidRPr="004836F6">
        <w:rPr>
          <w:rFonts w:ascii="Bookman Old Style" w:hAnsi="Bookman Old Style"/>
          <w:sz w:val="24"/>
          <w:szCs w:val="24"/>
        </w:rPr>
        <w:lastRenderedPageBreak/>
        <w:t>Y dado que nos encontramos en el asunto que nos convoca, en la etapa de juzgamiento le corresponde al Juez Fallador verificar lo concerniente a la prórroga de la medida de aseguramiento, y teniendo en cuenta que uno de los parámetros del sistema mixto es la oficiosidad, procederá este despacho a pronunciarse acerca de la referida prórroga de conformidad con el artículo 1º de la ley 1786 de 2016…</w:t>
      </w:r>
      <w:r w:rsidRPr="004836F6">
        <w:rPr>
          <w:rStyle w:val="Refdenotaalpie"/>
          <w:rFonts w:ascii="Bookman Old Style" w:hAnsi="Bookman Old Style"/>
          <w:sz w:val="24"/>
          <w:szCs w:val="24"/>
        </w:rPr>
        <w:footnoteReference w:id="15"/>
      </w:r>
    </w:p>
    <w:p w:rsidR="008F0DDB" w:rsidRPr="004836F6" w:rsidRDefault="008F0DDB" w:rsidP="008F0DDB">
      <w:pPr>
        <w:spacing w:after="0" w:line="240" w:lineRule="auto"/>
        <w:ind w:left="705" w:right="476"/>
        <w:jc w:val="both"/>
        <w:rPr>
          <w:rFonts w:ascii="Bookman Old Style" w:hAnsi="Bookman Old Style"/>
          <w:sz w:val="24"/>
          <w:szCs w:val="24"/>
        </w:rPr>
      </w:pPr>
    </w:p>
    <w:p w:rsidR="008F0DDB" w:rsidRPr="004836F6" w:rsidRDefault="008F0DDB" w:rsidP="00347EEC">
      <w:pPr>
        <w:spacing w:after="0" w:line="240" w:lineRule="auto"/>
        <w:ind w:right="618" w:firstLine="705"/>
        <w:jc w:val="both"/>
        <w:rPr>
          <w:rFonts w:ascii="Bookman Old Style" w:hAnsi="Bookman Old Style"/>
          <w:sz w:val="24"/>
          <w:szCs w:val="28"/>
        </w:rPr>
      </w:pPr>
      <w:r w:rsidRPr="004836F6">
        <w:rPr>
          <w:rFonts w:ascii="Bookman Old Style" w:hAnsi="Bookman Old Style"/>
          <w:sz w:val="24"/>
          <w:szCs w:val="28"/>
        </w:rPr>
        <w:t>(…)</w:t>
      </w:r>
    </w:p>
    <w:p w:rsidR="008F0DDB" w:rsidRPr="004836F6" w:rsidRDefault="008F0DDB" w:rsidP="00347EEC">
      <w:pPr>
        <w:spacing w:after="0" w:line="240" w:lineRule="auto"/>
        <w:ind w:left="705" w:right="618" w:firstLine="705"/>
        <w:jc w:val="both"/>
        <w:rPr>
          <w:rFonts w:ascii="Bookman Old Style" w:hAnsi="Bookman Old Style"/>
          <w:sz w:val="24"/>
          <w:szCs w:val="28"/>
        </w:rPr>
      </w:pPr>
    </w:p>
    <w:p w:rsidR="008F0DDB" w:rsidRPr="004836F6" w:rsidRDefault="008F0DDB" w:rsidP="00347EEC">
      <w:pPr>
        <w:spacing w:after="0" w:line="240" w:lineRule="auto"/>
        <w:ind w:left="705" w:right="618"/>
        <w:jc w:val="both"/>
        <w:rPr>
          <w:rFonts w:ascii="Bookman Old Style" w:hAnsi="Bookman Old Style"/>
          <w:sz w:val="24"/>
          <w:szCs w:val="28"/>
        </w:rPr>
      </w:pPr>
      <w:r w:rsidRPr="004836F6">
        <w:rPr>
          <w:rFonts w:ascii="Bookman Old Style" w:hAnsi="Bookman Old Style"/>
          <w:sz w:val="24"/>
          <w:szCs w:val="28"/>
        </w:rPr>
        <w:t xml:space="preserve">En este orden de ideas, se deben inicialmente verificar los presupuestos contenidos en el artículo 308 de la ley 906 de 2004 para establecer si se dan los requisitos para la sustitución de la medida de aseguramiento, que cabe acotar no es una figura propia del sistema de enjuiciamiento criminal representado en la ley 600 de 2000: </w:t>
      </w:r>
    </w:p>
    <w:p w:rsidR="008F0DDB" w:rsidRPr="004836F6" w:rsidRDefault="008F0DDB" w:rsidP="00347EEC">
      <w:pPr>
        <w:spacing w:after="0" w:line="240" w:lineRule="auto"/>
        <w:ind w:left="705" w:right="618"/>
        <w:jc w:val="both"/>
        <w:rPr>
          <w:rFonts w:ascii="Bookman Old Style" w:hAnsi="Bookman Old Style"/>
          <w:sz w:val="24"/>
          <w:szCs w:val="28"/>
        </w:rPr>
      </w:pPr>
    </w:p>
    <w:p w:rsidR="008F0DDB" w:rsidRPr="004836F6" w:rsidRDefault="008F0DDB" w:rsidP="00347EEC">
      <w:pPr>
        <w:spacing w:after="0" w:line="240" w:lineRule="auto"/>
        <w:ind w:left="705" w:right="618"/>
        <w:jc w:val="both"/>
        <w:rPr>
          <w:rFonts w:ascii="Bookman Old Style" w:hAnsi="Bookman Old Style"/>
          <w:sz w:val="24"/>
          <w:szCs w:val="28"/>
        </w:rPr>
      </w:pPr>
      <w:r w:rsidRPr="004836F6">
        <w:rPr>
          <w:rFonts w:ascii="Bookman Old Style" w:hAnsi="Bookman Old Style"/>
          <w:sz w:val="24"/>
          <w:szCs w:val="28"/>
        </w:rPr>
        <w:t>(…)</w:t>
      </w:r>
    </w:p>
    <w:p w:rsidR="008F0DDB" w:rsidRPr="004836F6" w:rsidRDefault="008F0DDB" w:rsidP="00347EEC">
      <w:pPr>
        <w:spacing w:after="0" w:line="240" w:lineRule="auto"/>
        <w:ind w:left="705" w:right="618"/>
        <w:jc w:val="both"/>
        <w:rPr>
          <w:rFonts w:ascii="Bookman Old Style" w:hAnsi="Bookman Old Style"/>
          <w:sz w:val="24"/>
          <w:szCs w:val="28"/>
        </w:rPr>
      </w:pPr>
    </w:p>
    <w:p w:rsidR="008F0DDB" w:rsidRPr="004836F6" w:rsidRDefault="008F0DDB" w:rsidP="00347EEC">
      <w:pPr>
        <w:spacing w:after="0" w:line="240" w:lineRule="auto"/>
        <w:ind w:left="705" w:right="618"/>
        <w:jc w:val="both"/>
        <w:rPr>
          <w:rFonts w:ascii="Bookman Old Style" w:hAnsi="Bookman Old Style"/>
          <w:sz w:val="24"/>
          <w:szCs w:val="28"/>
        </w:rPr>
      </w:pPr>
      <w:r w:rsidRPr="004836F6">
        <w:rPr>
          <w:rFonts w:ascii="Bookman Old Style" w:hAnsi="Bookman Old Style"/>
          <w:sz w:val="24"/>
          <w:szCs w:val="28"/>
        </w:rPr>
        <w:t xml:space="preserve">Así mismo, no se encuentra que la privación de la libertad se haya extendido de una manera injustificada, que el plazo no sea razonable, hay que precisar que si bien se expresó en decisión citada en precedencia por la Sala de Casación Penal de la Corte Suprema de Justicia, que debe contabilizarse de la misma manera los términos de privación de la libertad, no menos cierto es que los lineamientos del desarrollo del modelo procesal mixto es diametralmente distante, el procedimiento penal reglado en la Ley 600 impone una carga adicional, y es el aspecto referente a la publicidad de las decisiones que tiene una forma de notificación que es </w:t>
      </w:r>
      <w:proofErr w:type="spellStart"/>
      <w:r w:rsidRPr="004836F6">
        <w:rPr>
          <w:rFonts w:ascii="Bookman Old Style" w:hAnsi="Bookman Old Style"/>
          <w:sz w:val="24"/>
          <w:szCs w:val="28"/>
        </w:rPr>
        <w:t>inevadible</w:t>
      </w:r>
      <w:proofErr w:type="spellEnd"/>
      <w:r w:rsidRPr="004836F6">
        <w:rPr>
          <w:rFonts w:ascii="Bookman Old Style" w:hAnsi="Bookman Old Style"/>
          <w:sz w:val="24"/>
          <w:szCs w:val="28"/>
        </w:rPr>
        <w:t>, y con un desarrollo temporal mucho más amplio que el sistema penal acusatorio, igualmente se han surtido los recursos ordinarios ante el superior jerárquico del director de la etapa instructiva, lo que deja la privación de la libertad a la fecha en un plazo más que razonable bajo los parámetros de la Ley 600 de 2000</w:t>
      </w:r>
      <w:r w:rsidRPr="004836F6">
        <w:rPr>
          <w:rStyle w:val="Refdenotaalpie"/>
          <w:rFonts w:ascii="Bookman Old Style" w:hAnsi="Bookman Old Style"/>
          <w:sz w:val="24"/>
          <w:szCs w:val="28"/>
        </w:rPr>
        <w:footnoteReference w:id="16"/>
      </w:r>
      <w:r w:rsidRPr="004836F6">
        <w:rPr>
          <w:rFonts w:ascii="Bookman Old Style" w:hAnsi="Bookman Old Style"/>
          <w:sz w:val="24"/>
          <w:szCs w:val="28"/>
        </w:rPr>
        <w:t>.</w:t>
      </w:r>
    </w:p>
    <w:p w:rsidR="008F0DDB" w:rsidRPr="004836F6" w:rsidRDefault="008F0DDB" w:rsidP="00315FB3">
      <w:pPr>
        <w:spacing w:after="0" w:line="240" w:lineRule="auto"/>
        <w:ind w:left="705" w:right="476"/>
        <w:jc w:val="both"/>
        <w:rPr>
          <w:rFonts w:ascii="Bookman Old Style" w:hAnsi="Bookman Old Style"/>
          <w:sz w:val="24"/>
          <w:szCs w:val="24"/>
        </w:rPr>
      </w:pPr>
    </w:p>
    <w:p w:rsidR="00315FB3" w:rsidRPr="004836F6" w:rsidRDefault="00315FB3" w:rsidP="00315FB3">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A su turno, al resolver el recurso de apelación interpuesto por el defensor de URIBE VÉLEZ contra el anterior proveído, el Tribunal Superior de Antioquia indicó:</w:t>
      </w:r>
    </w:p>
    <w:p w:rsidR="00315FB3" w:rsidRPr="004836F6" w:rsidRDefault="00315FB3" w:rsidP="00315FB3">
      <w:pPr>
        <w:spacing w:after="0" w:line="240" w:lineRule="auto"/>
        <w:ind w:left="705"/>
        <w:jc w:val="both"/>
        <w:rPr>
          <w:rFonts w:ascii="Bookman Old Style" w:hAnsi="Bookman Old Style"/>
          <w:sz w:val="24"/>
          <w:szCs w:val="24"/>
        </w:rPr>
      </w:pPr>
    </w:p>
    <w:p w:rsidR="008F0DDB" w:rsidRPr="004836F6" w:rsidRDefault="008F0DDB" w:rsidP="00347EEC">
      <w:pPr>
        <w:spacing w:after="0" w:line="240" w:lineRule="auto"/>
        <w:ind w:left="703" w:right="618"/>
        <w:jc w:val="both"/>
        <w:rPr>
          <w:rFonts w:ascii="Bookman Old Style" w:hAnsi="Bookman Old Style"/>
          <w:sz w:val="24"/>
          <w:szCs w:val="28"/>
        </w:rPr>
      </w:pPr>
      <w:r w:rsidRPr="004836F6">
        <w:rPr>
          <w:rFonts w:ascii="Bookman Old Style" w:hAnsi="Bookman Old Style"/>
          <w:sz w:val="24"/>
          <w:szCs w:val="28"/>
        </w:rPr>
        <w:t xml:space="preserve">La Sala no encuentra incorrección alguna en la evaluación por parte del Juez de los requisitos previstos por el artículo 308 del C.P.P. dado que el propio legislador lo impuso en el </w:t>
      </w:r>
      <w:r w:rsidRPr="004836F6">
        <w:rPr>
          <w:rFonts w:ascii="Bookman Old Style" w:hAnsi="Bookman Old Style"/>
          <w:sz w:val="24"/>
          <w:szCs w:val="28"/>
        </w:rPr>
        <w:lastRenderedPageBreak/>
        <w:t>artículo 1 de la ley 1786 como uno de los criterios a evaluar para definir la prórroga de la medida de aseguramiento.  En este sentido se impone aclarar que a partir del fragmento jurisprudencial de la sentencia</w:t>
      </w:r>
      <w:r w:rsidR="000940E8">
        <w:rPr>
          <w:rStyle w:val="Refdenotaalpie"/>
          <w:rFonts w:ascii="Bookman Old Style" w:hAnsi="Bookman Old Style"/>
          <w:sz w:val="24"/>
          <w:szCs w:val="28"/>
        </w:rPr>
        <w:footnoteReference w:id="17"/>
      </w:r>
      <w:r w:rsidRPr="004836F6">
        <w:rPr>
          <w:rFonts w:ascii="Bookman Old Style" w:hAnsi="Bookman Old Style"/>
          <w:sz w:val="24"/>
          <w:szCs w:val="28"/>
        </w:rPr>
        <w:t xml:space="preserve"> 49.734 de 2017 a la que acude la defensa </w:t>
      </w:r>
      <w:r w:rsidRPr="000940E8">
        <w:rPr>
          <w:rFonts w:ascii="Bookman Old Style" w:hAnsi="Bookman Old Style"/>
        </w:rPr>
        <w:t xml:space="preserve">-sobre la comparación entre la revocatoria y la prórroga- </w:t>
      </w:r>
      <w:r w:rsidRPr="004836F6">
        <w:rPr>
          <w:rFonts w:ascii="Bookman Old Style" w:hAnsi="Bookman Old Style"/>
          <w:sz w:val="24"/>
          <w:szCs w:val="28"/>
        </w:rPr>
        <w:t>no se concluye que la Corte Suprema haya negado la remisión legal a los fines de la medida de aseguramiento.</w:t>
      </w:r>
    </w:p>
    <w:p w:rsidR="008F0DDB" w:rsidRPr="004836F6" w:rsidRDefault="008F0DDB" w:rsidP="00347EEC">
      <w:pPr>
        <w:spacing w:after="0" w:line="240" w:lineRule="auto"/>
        <w:ind w:left="703" w:right="618"/>
        <w:jc w:val="both"/>
        <w:rPr>
          <w:rFonts w:ascii="Bookman Old Style" w:hAnsi="Bookman Old Style"/>
          <w:sz w:val="24"/>
          <w:szCs w:val="28"/>
        </w:rPr>
      </w:pPr>
    </w:p>
    <w:p w:rsidR="008F0DDB" w:rsidRPr="004836F6" w:rsidRDefault="008F0DDB" w:rsidP="00347EEC">
      <w:pPr>
        <w:spacing w:after="0" w:line="240" w:lineRule="auto"/>
        <w:ind w:left="703" w:right="618"/>
        <w:jc w:val="both"/>
        <w:rPr>
          <w:rFonts w:ascii="Bookman Old Style" w:hAnsi="Bookman Old Style"/>
          <w:sz w:val="24"/>
          <w:szCs w:val="28"/>
        </w:rPr>
      </w:pPr>
      <w:r w:rsidRPr="004836F6">
        <w:rPr>
          <w:rFonts w:ascii="Bookman Old Style" w:hAnsi="Bookman Old Style"/>
          <w:sz w:val="24"/>
          <w:szCs w:val="28"/>
        </w:rPr>
        <w:t>El hecho de que el Juez hubiere mencionado la gravedad de los delitos por los que se procede no se aprecia arbitraria. Tampoco se puede afirmar que esa mención haya reemplazado los argumentos que permitieron la imposición de la medida, puesto que la decisión de primera instancia no hizo ninguna afirmación en tal sentido.</w:t>
      </w:r>
    </w:p>
    <w:p w:rsidR="008F0DDB" w:rsidRPr="004836F6" w:rsidRDefault="008F0DDB" w:rsidP="00347EEC">
      <w:pPr>
        <w:spacing w:after="0" w:line="240" w:lineRule="auto"/>
        <w:ind w:left="705" w:right="618"/>
        <w:jc w:val="both"/>
        <w:rPr>
          <w:rFonts w:ascii="Bookman Old Style" w:hAnsi="Bookman Old Style"/>
          <w:sz w:val="24"/>
          <w:szCs w:val="24"/>
        </w:rPr>
      </w:pPr>
    </w:p>
    <w:p w:rsidR="00315FB3" w:rsidRPr="004836F6" w:rsidRDefault="00315FB3" w:rsidP="00347EEC">
      <w:pPr>
        <w:spacing w:after="0" w:line="240" w:lineRule="auto"/>
        <w:ind w:left="705" w:right="618"/>
        <w:jc w:val="both"/>
        <w:rPr>
          <w:rFonts w:ascii="Bookman Old Style" w:hAnsi="Bookman Old Style"/>
          <w:sz w:val="24"/>
          <w:szCs w:val="24"/>
        </w:rPr>
      </w:pPr>
      <w:r w:rsidRPr="004836F6">
        <w:rPr>
          <w:rFonts w:ascii="Bookman Old Style" w:hAnsi="Bookman Old Style"/>
          <w:sz w:val="24"/>
          <w:szCs w:val="24"/>
        </w:rPr>
        <w:t xml:space="preserve">Ahora bien, para responder el interrogante sobre si en este evento se ha superado el plazo razonable, que es en esencia el tema que se debe dilucidar para determinar el vencimiento del término y su prorroga, -de nuevo- </w:t>
      </w:r>
      <w:r w:rsidRPr="004836F6">
        <w:rPr>
          <w:rFonts w:ascii="Bookman Old Style" w:hAnsi="Bookman Old Style"/>
          <w:i/>
          <w:sz w:val="24"/>
          <w:szCs w:val="24"/>
        </w:rPr>
        <w:t>no se puede obviar que en este evento no se evalúa un trámite que se haya adelantado po</w:t>
      </w:r>
      <w:r w:rsidR="008F0DDB" w:rsidRPr="004836F6">
        <w:rPr>
          <w:rFonts w:ascii="Bookman Old Style" w:hAnsi="Bookman Old Style"/>
          <w:i/>
          <w:sz w:val="24"/>
          <w:szCs w:val="24"/>
        </w:rPr>
        <w:t>r la L</w:t>
      </w:r>
      <w:r w:rsidRPr="004836F6">
        <w:rPr>
          <w:rFonts w:ascii="Bookman Old Style" w:hAnsi="Bookman Old Style"/>
          <w:i/>
          <w:sz w:val="24"/>
          <w:szCs w:val="24"/>
        </w:rPr>
        <w:t>ey 906 de 2004</w:t>
      </w:r>
      <w:r w:rsidRPr="004836F6">
        <w:rPr>
          <w:rFonts w:ascii="Bookman Old Style" w:hAnsi="Bookman Old Style"/>
          <w:sz w:val="24"/>
          <w:szCs w:val="24"/>
        </w:rPr>
        <w:t>.</w:t>
      </w:r>
    </w:p>
    <w:p w:rsidR="00315FB3" w:rsidRPr="004836F6" w:rsidRDefault="00315FB3" w:rsidP="00347EEC">
      <w:pPr>
        <w:spacing w:after="0" w:line="240" w:lineRule="auto"/>
        <w:ind w:left="705" w:right="618"/>
        <w:jc w:val="both"/>
        <w:rPr>
          <w:rFonts w:ascii="Bookman Old Style" w:hAnsi="Bookman Old Style"/>
          <w:sz w:val="24"/>
          <w:szCs w:val="24"/>
        </w:rPr>
      </w:pPr>
    </w:p>
    <w:p w:rsidR="00315FB3" w:rsidRPr="004836F6" w:rsidRDefault="00315FB3" w:rsidP="00347EEC">
      <w:pPr>
        <w:spacing w:after="0" w:line="240" w:lineRule="auto"/>
        <w:ind w:left="705" w:right="618"/>
        <w:jc w:val="both"/>
        <w:rPr>
          <w:rFonts w:ascii="Bookman Old Style" w:hAnsi="Bookman Old Style"/>
          <w:sz w:val="24"/>
          <w:szCs w:val="24"/>
        </w:rPr>
      </w:pPr>
      <w:r w:rsidRPr="004836F6">
        <w:rPr>
          <w:rFonts w:ascii="Bookman Old Style" w:hAnsi="Bookman Old Style"/>
          <w:sz w:val="24"/>
          <w:szCs w:val="24"/>
        </w:rPr>
        <w:t>En verdad, lo que quiso la Corte Suprema de Justicia, al habilitar la aplicación favorable de la disposición no fue igualar de manera descontextualizada, cada una de las fases procesales que permitieron al legislador estimar el término de un año para que se agotara todo el trámite procesal desde la imposición de medida de aseguramiento hasta la sentencia de primera instancia en el trámite de Ley 906 de 2004, frente a las fases procesales previstas en el sistema mixto. En realidad, lo que hizo y concretizó (sic) la sentencia fue acudir a un referente legal de vigencia máxima de una medida de aseguramiento por favorabilidad, ante la inexistencia de uno en la ley 600 de 2000:</w:t>
      </w:r>
    </w:p>
    <w:p w:rsidR="00315FB3" w:rsidRPr="004836F6" w:rsidRDefault="00315FB3" w:rsidP="00347EEC">
      <w:pPr>
        <w:spacing w:after="0" w:line="240" w:lineRule="auto"/>
        <w:ind w:left="705" w:right="618"/>
        <w:jc w:val="both"/>
        <w:rPr>
          <w:rFonts w:ascii="Bookman Old Style" w:hAnsi="Bookman Old Style"/>
          <w:sz w:val="24"/>
          <w:szCs w:val="24"/>
        </w:rPr>
      </w:pPr>
    </w:p>
    <w:p w:rsidR="00315FB3" w:rsidRDefault="00315FB3" w:rsidP="00347EEC">
      <w:pPr>
        <w:spacing w:after="0" w:line="240" w:lineRule="auto"/>
        <w:ind w:left="709" w:right="618"/>
        <w:jc w:val="both"/>
        <w:rPr>
          <w:rFonts w:ascii="Bookman Old Style" w:hAnsi="Bookman Old Style"/>
          <w:sz w:val="24"/>
          <w:szCs w:val="24"/>
        </w:rPr>
      </w:pPr>
      <w:r w:rsidRPr="004836F6">
        <w:rPr>
          <w:rFonts w:ascii="Bookman Old Style" w:hAnsi="Bookman Old Style"/>
          <w:sz w:val="24"/>
          <w:szCs w:val="24"/>
        </w:rPr>
        <w:t>"</w:t>
      </w:r>
      <w:r w:rsidRPr="000940E8">
        <w:rPr>
          <w:rFonts w:ascii="Bookman Old Style" w:hAnsi="Bookman Old Style"/>
          <w:i/>
          <w:sz w:val="23"/>
          <w:szCs w:val="23"/>
        </w:rPr>
        <w:t xml:space="preserve">Ésta corresponde a la concreción de una garantía fundamental que desarrolla tanto los contornos específicos del debido proceso -en su componente del derecho a ser juzgado sin dilaciones injustificadas- como los contenidos del principio constitucional de proporcionalidad (prohibición de exceso), en relación con la limitación de las injerencias en la libertad personal a través de medidas cautelares en el proceso penal.  Y la disposición normativa concernida, desde luego, es favorable al procesado, </w:t>
      </w:r>
      <w:r w:rsidRPr="000940E8">
        <w:rPr>
          <w:rFonts w:ascii="Bookman Old Style" w:hAnsi="Bookman Old Style"/>
          <w:bCs/>
          <w:i/>
          <w:sz w:val="23"/>
          <w:szCs w:val="23"/>
        </w:rPr>
        <w:t xml:space="preserve">en la </w:t>
      </w:r>
      <w:r w:rsidRPr="000940E8">
        <w:rPr>
          <w:rFonts w:ascii="Bookman Old Style" w:hAnsi="Bookman Old Style"/>
          <w:i/>
          <w:sz w:val="23"/>
          <w:szCs w:val="23"/>
        </w:rPr>
        <w:t>medida en que la fijación de un término máximo de vigencia de la detención preventiva no existe en la ley 600 de 2000</w:t>
      </w:r>
      <w:r w:rsidRPr="004836F6">
        <w:rPr>
          <w:rFonts w:ascii="Bookman Old Style" w:hAnsi="Bookman Old Style"/>
          <w:sz w:val="24"/>
          <w:szCs w:val="24"/>
        </w:rPr>
        <w:t>".</w:t>
      </w:r>
    </w:p>
    <w:p w:rsidR="000940E8" w:rsidRDefault="000940E8" w:rsidP="00347EEC">
      <w:pPr>
        <w:spacing w:after="0" w:line="240" w:lineRule="auto"/>
        <w:ind w:left="709" w:right="618"/>
        <w:jc w:val="both"/>
        <w:rPr>
          <w:rFonts w:ascii="Bookman Old Style" w:hAnsi="Bookman Old Style"/>
          <w:sz w:val="24"/>
          <w:szCs w:val="24"/>
        </w:rPr>
      </w:pPr>
    </w:p>
    <w:p w:rsidR="000940E8" w:rsidRPr="004836F6" w:rsidRDefault="000940E8" w:rsidP="00347EEC">
      <w:pPr>
        <w:spacing w:after="0" w:line="240" w:lineRule="auto"/>
        <w:ind w:left="709" w:right="618"/>
        <w:jc w:val="both"/>
        <w:rPr>
          <w:rFonts w:ascii="Bookman Old Style" w:hAnsi="Bookman Old Style"/>
          <w:b/>
          <w:sz w:val="24"/>
          <w:szCs w:val="24"/>
        </w:rPr>
      </w:pPr>
      <w:r>
        <w:rPr>
          <w:rFonts w:ascii="Bookman Old Style" w:hAnsi="Bookman Old Style"/>
          <w:sz w:val="24"/>
          <w:szCs w:val="24"/>
        </w:rPr>
        <w:t>(…)</w:t>
      </w:r>
    </w:p>
    <w:p w:rsidR="00315FB3" w:rsidRPr="004836F6" w:rsidRDefault="00315FB3" w:rsidP="00347EEC">
      <w:pPr>
        <w:spacing w:after="0" w:line="240" w:lineRule="auto"/>
        <w:ind w:left="705" w:right="618"/>
        <w:jc w:val="both"/>
        <w:rPr>
          <w:rFonts w:ascii="Bookman Old Style" w:hAnsi="Bookman Old Style"/>
          <w:sz w:val="24"/>
          <w:szCs w:val="24"/>
        </w:rPr>
      </w:pPr>
      <w:r w:rsidRPr="004836F6">
        <w:rPr>
          <w:rFonts w:ascii="Bookman Old Style" w:hAnsi="Bookman Old Style"/>
          <w:sz w:val="24"/>
          <w:szCs w:val="24"/>
        </w:rPr>
        <w:lastRenderedPageBreak/>
        <w:t>Además, el trámite del Juzgado de origen tampoco ha mostrado dilación injustificada que permita cimentar la revocatoria de la decisión apelada.</w:t>
      </w:r>
    </w:p>
    <w:p w:rsidR="00315FB3" w:rsidRPr="004836F6" w:rsidRDefault="00315FB3" w:rsidP="00347EEC">
      <w:pPr>
        <w:spacing w:after="0" w:line="240" w:lineRule="auto"/>
        <w:ind w:left="705" w:right="618"/>
        <w:jc w:val="both"/>
        <w:rPr>
          <w:rFonts w:ascii="Bookman Old Style" w:hAnsi="Bookman Old Style"/>
          <w:sz w:val="24"/>
          <w:szCs w:val="24"/>
          <w:rtl/>
        </w:rPr>
      </w:pPr>
    </w:p>
    <w:p w:rsidR="00315FB3" w:rsidRPr="004836F6" w:rsidRDefault="00315FB3" w:rsidP="00347EEC">
      <w:pPr>
        <w:spacing w:after="0" w:line="240" w:lineRule="auto"/>
        <w:ind w:left="705" w:right="618"/>
        <w:jc w:val="both"/>
        <w:rPr>
          <w:rFonts w:ascii="Bookman Old Style" w:hAnsi="Bookman Old Style"/>
          <w:sz w:val="24"/>
          <w:szCs w:val="24"/>
        </w:rPr>
      </w:pPr>
      <w:r w:rsidRPr="004836F6">
        <w:rPr>
          <w:rFonts w:ascii="Bookman Old Style" w:hAnsi="Bookman Old Style"/>
          <w:sz w:val="24"/>
          <w:szCs w:val="24"/>
        </w:rPr>
        <w:t>En definitiva, ya sea frente al tamiz previsto por los términos previstos en la ley 600 de 2000 o en la evaluación del término y su prórroga consagrado en la ley 1786 de 2016, se puede concluir que no se ha vulnerado la garantía constitucional y convencional de razonabilidad del lapso de privación de la libertad corno resultado de la medida de aseguramiento</w:t>
      </w:r>
      <w:r w:rsidRPr="004836F6">
        <w:rPr>
          <w:rStyle w:val="Refdenotaalpie"/>
          <w:rFonts w:ascii="Bookman Old Style" w:hAnsi="Bookman Old Style"/>
          <w:sz w:val="24"/>
          <w:szCs w:val="24"/>
        </w:rPr>
        <w:footnoteReference w:id="18"/>
      </w:r>
      <w:r w:rsidRPr="004836F6">
        <w:rPr>
          <w:rFonts w:ascii="Bookman Old Style" w:hAnsi="Bookman Old Style"/>
          <w:sz w:val="24"/>
          <w:szCs w:val="24"/>
        </w:rPr>
        <w:t>.</w:t>
      </w:r>
    </w:p>
    <w:p w:rsidR="004C07AF" w:rsidRPr="004836F6" w:rsidRDefault="004C07AF" w:rsidP="00347EEC">
      <w:pPr>
        <w:spacing w:after="0" w:line="240" w:lineRule="auto"/>
        <w:ind w:left="705" w:right="618"/>
        <w:jc w:val="both"/>
        <w:rPr>
          <w:rFonts w:ascii="Bookman Old Style" w:hAnsi="Bookman Old Style"/>
          <w:sz w:val="24"/>
          <w:szCs w:val="24"/>
        </w:rPr>
      </w:pPr>
    </w:p>
    <w:p w:rsidR="00E04816" w:rsidRPr="004836F6" w:rsidRDefault="00315FB3" w:rsidP="00315FB3">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Pues bien, contrastadas las razones expuestas en los autos censurados con las premisas anteriormente expuestas, referentes al debido proceso cautelar y al plazo razonable,</w:t>
      </w:r>
      <w:r w:rsidR="00E04816" w:rsidRPr="004836F6">
        <w:rPr>
          <w:rFonts w:ascii="Bookman Old Style" w:hAnsi="Bookman Old Style"/>
          <w:sz w:val="27"/>
          <w:szCs w:val="27"/>
        </w:rPr>
        <w:t xml:space="preserve"> para la Sala, no se configuró ninguna vía de hecho en la aplicación de normas procesales, que dé lugar a la configuración de un defecto procedimental absoluto. </w:t>
      </w:r>
    </w:p>
    <w:p w:rsidR="00E04816" w:rsidRPr="004836F6" w:rsidRDefault="00E04816" w:rsidP="00315FB3">
      <w:pPr>
        <w:spacing w:after="0" w:line="336" w:lineRule="auto"/>
        <w:ind w:firstLine="705"/>
        <w:jc w:val="both"/>
        <w:rPr>
          <w:rFonts w:ascii="Bookman Old Style" w:hAnsi="Bookman Old Style"/>
          <w:sz w:val="27"/>
          <w:szCs w:val="27"/>
        </w:rPr>
      </w:pPr>
    </w:p>
    <w:p w:rsidR="00E04816" w:rsidRPr="004836F6" w:rsidRDefault="00E04816" w:rsidP="00315FB3">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 xml:space="preserve">La infracción denunciada por el autor estriba en dos razones fundamentales de ilegalidad, a saber: i) que al juez le estaba vedado prorrogar oficiosamente el término máximo de vigencia de la medida de aseguramiento y ii) que en todo caso la extensión del término era improcedente, en razón de haberse decretado extemporáneamente. </w:t>
      </w:r>
      <w:r w:rsidR="00D75981" w:rsidRPr="004836F6">
        <w:rPr>
          <w:rFonts w:ascii="Bookman Old Style" w:hAnsi="Bookman Old Style"/>
          <w:sz w:val="27"/>
          <w:szCs w:val="27"/>
        </w:rPr>
        <w:t xml:space="preserve">Mas tales asertos no acreditan que los juzgadores demandados se apartaron manifiestamente de las reglas propias del juicio </w:t>
      </w:r>
      <w:r w:rsidR="00D75981" w:rsidRPr="004836F6">
        <w:rPr>
          <w:rFonts w:ascii="Bookman Old Style" w:hAnsi="Bookman Old Style"/>
          <w:i/>
          <w:sz w:val="27"/>
          <w:szCs w:val="27"/>
        </w:rPr>
        <w:t>cautelar</w:t>
      </w:r>
      <w:r w:rsidR="00D75981" w:rsidRPr="004836F6">
        <w:rPr>
          <w:rFonts w:ascii="Bookman Old Style" w:hAnsi="Bookman Old Style"/>
          <w:sz w:val="27"/>
          <w:szCs w:val="27"/>
        </w:rPr>
        <w:t>, en referencia a un caso tramitado por la Ley 600 de 2000.</w:t>
      </w:r>
    </w:p>
    <w:p w:rsidR="00D75981" w:rsidRPr="004836F6" w:rsidRDefault="00D75981" w:rsidP="00315FB3">
      <w:pPr>
        <w:spacing w:after="0" w:line="336" w:lineRule="auto"/>
        <w:ind w:firstLine="705"/>
        <w:jc w:val="both"/>
        <w:rPr>
          <w:rFonts w:ascii="Bookman Old Style" w:hAnsi="Bookman Old Style"/>
          <w:sz w:val="27"/>
          <w:szCs w:val="27"/>
        </w:rPr>
      </w:pPr>
    </w:p>
    <w:p w:rsidR="00570934" w:rsidRPr="004836F6" w:rsidRDefault="00D77203" w:rsidP="00315FB3">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 xml:space="preserve">2.5.1 </w:t>
      </w:r>
      <w:r w:rsidR="00D75981" w:rsidRPr="004836F6">
        <w:rPr>
          <w:rFonts w:ascii="Bookman Old Style" w:hAnsi="Bookman Old Style"/>
          <w:sz w:val="27"/>
          <w:szCs w:val="27"/>
        </w:rPr>
        <w:t>En primer lugar, como se expuso con antelaci</w:t>
      </w:r>
      <w:r w:rsidR="00EB738E" w:rsidRPr="004836F6">
        <w:rPr>
          <w:rFonts w:ascii="Bookman Old Style" w:hAnsi="Bookman Old Style"/>
          <w:sz w:val="27"/>
          <w:szCs w:val="27"/>
        </w:rPr>
        <w:t xml:space="preserve">ón, en el esquema procesal mixto diseñado por la referida codificación procesal penal, el control sobre el cumplimiento de los plazos en cuestión ha de ejercerlo oficiosamente tanto el fiscal como el juez de la causa, según la etapa procesal. </w:t>
      </w:r>
      <w:r w:rsidR="00FA0006" w:rsidRPr="004836F6">
        <w:rPr>
          <w:rFonts w:ascii="Bookman Old Style" w:hAnsi="Bookman Old Style"/>
          <w:sz w:val="27"/>
          <w:szCs w:val="27"/>
        </w:rPr>
        <w:t xml:space="preserve">No hay, entonces, </w:t>
      </w:r>
      <w:r w:rsidR="00FA0006" w:rsidRPr="004836F6">
        <w:rPr>
          <w:rFonts w:ascii="Bookman Old Style" w:hAnsi="Bookman Old Style"/>
          <w:sz w:val="27"/>
          <w:szCs w:val="27"/>
        </w:rPr>
        <w:lastRenderedPageBreak/>
        <w:t>ningún yerro en la prórroga decretada por el juez, sin petición de la Fiscal</w:t>
      </w:r>
      <w:r w:rsidR="00144B11" w:rsidRPr="004836F6">
        <w:rPr>
          <w:rFonts w:ascii="Bookman Old Style" w:hAnsi="Bookman Old Style"/>
          <w:sz w:val="27"/>
          <w:szCs w:val="27"/>
        </w:rPr>
        <w:t>ía, pues la actuación ya se encontraba en fase de juicio, por haber cobrado ejecutoria la resolución de acusación.</w:t>
      </w:r>
    </w:p>
    <w:p w:rsidR="00570934" w:rsidRPr="004836F6" w:rsidRDefault="00570934" w:rsidP="00315FB3">
      <w:pPr>
        <w:spacing w:after="0" w:line="336" w:lineRule="auto"/>
        <w:ind w:firstLine="705"/>
        <w:jc w:val="both"/>
        <w:rPr>
          <w:rFonts w:ascii="Bookman Old Style" w:hAnsi="Bookman Old Style"/>
          <w:sz w:val="27"/>
          <w:szCs w:val="27"/>
        </w:rPr>
      </w:pPr>
    </w:p>
    <w:p w:rsidR="00D75981" w:rsidRPr="004836F6" w:rsidRDefault="00570934" w:rsidP="00315FB3">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No es correcto</w:t>
      </w:r>
      <w:r w:rsidR="00B83C8C" w:rsidRPr="004836F6">
        <w:rPr>
          <w:rFonts w:ascii="Bookman Old Style" w:hAnsi="Bookman Old Style"/>
          <w:sz w:val="27"/>
          <w:szCs w:val="27"/>
        </w:rPr>
        <w:t xml:space="preserve"> entender</w:t>
      </w:r>
      <w:r w:rsidRPr="004836F6">
        <w:rPr>
          <w:rFonts w:ascii="Bookman Old Style" w:hAnsi="Bookman Old Style"/>
          <w:sz w:val="27"/>
          <w:szCs w:val="27"/>
        </w:rPr>
        <w:t xml:space="preserve">, como lo plantea el accionante, que la </w:t>
      </w:r>
      <w:proofErr w:type="spellStart"/>
      <w:r w:rsidRPr="004836F6">
        <w:rPr>
          <w:rFonts w:ascii="Bookman Old Style" w:hAnsi="Bookman Old Style"/>
          <w:sz w:val="27"/>
          <w:szCs w:val="27"/>
        </w:rPr>
        <w:t>plurimencionada</w:t>
      </w:r>
      <w:proofErr w:type="spellEnd"/>
      <w:r w:rsidRPr="004836F6">
        <w:rPr>
          <w:rFonts w:ascii="Bookman Old Style" w:hAnsi="Bookman Old Style"/>
          <w:sz w:val="27"/>
          <w:szCs w:val="27"/>
        </w:rPr>
        <w:t xml:space="preserve"> extensión del plazo </w:t>
      </w:r>
      <w:r w:rsidR="00F90A38" w:rsidRPr="004836F6">
        <w:rPr>
          <w:rFonts w:ascii="Bookman Old Style" w:hAnsi="Bookman Old Style"/>
          <w:i/>
          <w:sz w:val="27"/>
          <w:szCs w:val="27"/>
        </w:rPr>
        <w:t>puede</w:t>
      </w:r>
      <w:r w:rsidR="00F90A38" w:rsidRPr="004836F6">
        <w:rPr>
          <w:rFonts w:ascii="Bookman Old Style" w:hAnsi="Bookman Old Style"/>
          <w:sz w:val="27"/>
          <w:szCs w:val="27"/>
        </w:rPr>
        <w:t xml:space="preserve"> prorrogarse </w:t>
      </w:r>
      <w:r w:rsidR="0033532F" w:rsidRPr="004836F6">
        <w:rPr>
          <w:rFonts w:ascii="Bookman Old Style" w:hAnsi="Bookman Old Style"/>
          <w:sz w:val="27"/>
          <w:szCs w:val="27"/>
        </w:rPr>
        <w:t xml:space="preserve">únicamente </w:t>
      </w:r>
      <w:r w:rsidR="00F90A38" w:rsidRPr="004836F6">
        <w:rPr>
          <w:rFonts w:ascii="Bookman Old Style" w:hAnsi="Bookman Old Style"/>
          <w:sz w:val="27"/>
          <w:szCs w:val="27"/>
        </w:rPr>
        <w:t>a solicitud del fiscal o del apoderado de la víctima</w:t>
      </w:r>
      <w:r w:rsidR="00144B11" w:rsidRPr="004836F6">
        <w:rPr>
          <w:rFonts w:ascii="Bookman Old Style" w:hAnsi="Bookman Old Style"/>
          <w:sz w:val="27"/>
          <w:szCs w:val="27"/>
        </w:rPr>
        <w:t xml:space="preserve"> </w:t>
      </w:r>
      <w:r w:rsidR="007F51F8" w:rsidRPr="004836F6">
        <w:rPr>
          <w:rFonts w:ascii="Bookman Old Style" w:hAnsi="Bookman Old Style"/>
          <w:sz w:val="27"/>
          <w:szCs w:val="27"/>
        </w:rPr>
        <w:t>invocando los arts. 1</w:t>
      </w:r>
      <w:r w:rsidR="00430481" w:rsidRPr="004836F6">
        <w:rPr>
          <w:rFonts w:ascii="Bookman Old Style" w:hAnsi="Bookman Old Style"/>
          <w:sz w:val="27"/>
          <w:szCs w:val="27"/>
        </w:rPr>
        <w:t>º y 3º de la Ley 1786 de 2016,</w:t>
      </w:r>
      <w:r w:rsidR="006347A5" w:rsidRPr="004836F6">
        <w:rPr>
          <w:rFonts w:ascii="Bookman Old Style" w:hAnsi="Bookman Old Style"/>
          <w:sz w:val="27"/>
          <w:szCs w:val="27"/>
        </w:rPr>
        <w:t xml:space="preserve"> como quiera que tales normas tienen sentido </w:t>
      </w:r>
      <w:r w:rsidR="006347A5" w:rsidRPr="004836F6">
        <w:rPr>
          <w:rFonts w:ascii="Bookman Old Style" w:hAnsi="Bookman Old Style"/>
          <w:i/>
          <w:sz w:val="27"/>
          <w:szCs w:val="27"/>
        </w:rPr>
        <w:t>en relación con el juez de control de garantías</w:t>
      </w:r>
      <w:r w:rsidR="006347A5" w:rsidRPr="004836F6">
        <w:rPr>
          <w:rFonts w:ascii="Bookman Old Style" w:hAnsi="Bookman Old Style"/>
          <w:sz w:val="27"/>
          <w:szCs w:val="27"/>
        </w:rPr>
        <w:t xml:space="preserve">, que no existe en la Ley 600 de 2000. </w:t>
      </w:r>
      <w:r w:rsidR="00815273" w:rsidRPr="004836F6">
        <w:rPr>
          <w:rFonts w:ascii="Bookman Old Style" w:hAnsi="Bookman Old Style"/>
          <w:sz w:val="27"/>
          <w:szCs w:val="27"/>
        </w:rPr>
        <w:t>Tampoco es acertado</w:t>
      </w:r>
      <w:r w:rsidR="009A72D2" w:rsidRPr="004836F6">
        <w:rPr>
          <w:rFonts w:ascii="Bookman Old Style" w:hAnsi="Bookman Old Style"/>
          <w:sz w:val="27"/>
          <w:szCs w:val="27"/>
        </w:rPr>
        <w:t xml:space="preserve"> sostener que, en virtud del art. 163 de la Ley 600 de 2000, </w:t>
      </w:r>
      <w:r w:rsidR="00712078" w:rsidRPr="004836F6">
        <w:rPr>
          <w:rFonts w:ascii="Bookman Old Style" w:hAnsi="Bookman Old Style"/>
          <w:sz w:val="27"/>
          <w:szCs w:val="27"/>
        </w:rPr>
        <w:t>la prórroga de la</w:t>
      </w:r>
      <w:r w:rsidR="00712078" w:rsidRPr="004836F6">
        <w:rPr>
          <w:rFonts w:ascii="Bookman Old Style" w:hAnsi="Bookman Old Style"/>
          <w:i/>
          <w:sz w:val="27"/>
          <w:szCs w:val="27"/>
        </w:rPr>
        <w:t xml:space="preserve"> </w:t>
      </w:r>
      <w:r w:rsidR="00712078" w:rsidRPr="004836F6">
        <w:rPr>
          <w:rFonts w:ascii="Bookman Old Style" w:hAnsi="Bookman Old Style"/>
          <w:sz w:val="27"/>
          <w:szCs w:val="27"/>
        </w:rPr>
        <w:t xml:space="preserve">vigencia de la medida de aseguramiento está condicionada a petición de parte. </w:t>
      </w:r>
    </w:p>
    <w:p w:rsidR="00941A86" w:rsidRPr="004836F6" w:rsidRDefault="00941A86" w:rsidP="00315FB3">
      <w:pPr>
        <w:spacing w:after="0" w:line="336" w:lineRule="auto"/>
        <w:ind w:firstLine="705"/>
        <w:jc w:val="both"/>
        <w:rPr>
          <w:rFonts w:ascii="Bookman Old Style" w:hAnsi="Bookman Old Style"/>
          <w:sz w:val="27"/>
          <w:szCs w:val="27"/>
        </w:rPr>
      </w:pPr>
    </w:p>
    <w:p w:rsidR="00B62906" w:rsidRPr="004836F6" w:rsidRDefault="00362CD2" w:rsidP="00315FB3">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 xml:space="preserve">Cierto es que el art. 163 </w:t>
      </w:r>
      <w:r w:rsidRPr="004836F6">
        <w:rPr>
          <w:rFonts w:ascii="Bookman Old Style" w:hAnsi="Bookman Old Style"/>
          <w:i/>
          <w:sz w:val="27"/>
          <w:szCs w:val="27"/>
        </w:rPr>
        <w:t xml:space="preserve">ídem </w:t>
      </w:r>
      <w:r w:rsidRPr="004836F6">
        <w:rPr>
          <w:rFonts w:ascii="Bookman Old Style" w:hAnsi="Bookman Old Style"/>
          <w:sz w:val="27"/>
          <w:szCs w:val="27"/>
        </w:rPr>
        <w:t>establece que los términos legales o judiciales no pueden ser prorrogados sino a petición de los sujetos procesales, realizada antes de su vencimiento</w:t>
      </w:r>
      <w:r w:rsidR="00AD7064" w:rsidRPr="004836F6">
        <w:rPr>
          <w:rFonts w:ascii="Bookman Old Style" w:hAnsi="Bookman Old Style"/>
          <w:sz w:val="27"/>
          <w:szCs w:val="27"/>
        </w:rPr>
        <w:t xml:space="preserve">, por causa grave y justificada. Empero, la teleología de tal disposición indica que </w:t>
      </w:r>
      <w:r w:rsidR="00B90685" w:rsidRPr="004836F6">
        <w:rPr>
          <w:rFonts w:ascii="Bookman Old Style" w:hAnsi="Bookman Old Style"/>
          <w:sz w:val="27"/>
          <w:szCs w:val="27"/>
        </w:rPr>
        <w:t>es</w:t>
      </w:r>
      <w:r w:rsidR="002111AF" w:rsidRPr="004836F6">
        <w:rPr>
          <w:rFonts w:ascii="Bookman Old Style" w:hAnsi="Bookman Old Style"/>
          <w:sz w:val="27"/>
          <w:szCs w:val="27"/>
        </w:rPr>
        <w:t>e condicionamiento</w:t>
      </w:r>
      <w:r w:rsidR="00AD7064" w:rsidRPr="004836F6">
        <w:rPr>
          <w:rFonts w:ascii="Bookman Old Style" w:hAnsi="Bookman Old Style"/>
          <w:sz w:val="27"/>
          <w:szCs w:val="27"/>
        </w:rPr>
        <w:t xml:space="preserve"> aplica a términos que </w:t>
      </w:r>
      <w:r w:rsidR="00D164B4" w:rsidRPr="004836F6">
        <w:rPr>
          <w:rFonts w:ascii="Bookman Old Style" w:hAnsi="Bookman Old Style"/>
          <w:sz w:val="27"/>
          <w:szCs w:val="27"/>
        </w:rPr>
        <w:t xml:space="preserve">corren </w:t>
      </w:r>
      <w:r w:rsidR="00D164B4" w:rsidRPr="004836F6">
        <w:rPr>
          <w:rFonts w:ascii="Bookman Old Style" w:hAnsi="Bookman Old Style"/>
          <w:i/>
          <w:sz w:val="27"/>
          <w:szCs w:val="27"/>
        </w:rPr>
        <w:t>para las partes o sujetos intervinientes</w:t>
      </w:r>
      <w:r w:rsidR="00E57CCC" w:rsidRPr="004836F6">
        <w:rPr>
          <w:rStyle w:val="Refdenotaalpie"/>
          <w:rFonts w:ascii="Bookman Old Style" w:hAnsi="Bookman Old Style"/>
          <w:i/>
          <w:sz w:val="27"/>
          <w:szCs w:val="27"/>
        </w:rPr>
        <w:footnoteReference w:id="19"/>
      </w:r>
      <w:r w:rsidR="00B53B2F" w:rsidRPr="004836F6">
        <w:rPr>
          <w:rFonts w:ascii="Bookman Old Style" w:hAnsi="Bookman Old Style"/>
          <w:i/>
          <w:sz w:val="27"/>
          <w:szCs w:val="27"/>
        </w:rPr>
        <w:t xml:space="preserve"> </w:t>
      </w:r>
      <w:r w:rsidR="00B53B2F" w:rsidRPr="004836F6">
        <w:rPr>
          <w:rFonts w:ascii="Bookman Old Style" w:hAnsi="Bookman Old Style"/>
          <w:sz w:val="25"/>
          <w:szCs w:val="25"/>
        </w:rPr>
        <w:t>-</w:t>
      </w:r>
      <w:r w:rsidR="00E57CCC" w:rsidRPr="004836F6">
        <w:rPr>
          <w:rFonts w:ascii="Bookman Old Style" w:hAnsi="Bookman Old Style"/>
          <w:sz w:val="25"/>
          <w:szCs w:val="25"/>
        </w:rPr>
        <w:t>como, por ejemplo, los plazos</w:t>
      </w:r>
      <w:r w:rsidR="00B53B2F" w:rsidRPr="004836F6">
        <w:rPr>
          <w:rFonts w:ascii="Bookman Old Style" w:hAnsi="Bookman Old Style"/>
          <w:sz w:val="25"/>
          <w:szCs w:val="25"/>
        </w:rPr>
        <w:t xml:space="preserve"> para interponer o sustentar recursos, los traslados o la presentación de alegatos-</w:t>
      </w:r>
      <w:r w:rsidR="00D164B4" w:rsidRPr="004836F6">
        <w:rPr>
          <w:rFonts w:ascii="Bookman Old Style" w:hAnsi="Bookman Old Style"/>
          <w:sz w:val="27"/>
          <w:szCs w:val="27"/>
        </w:rPr>
        <w:t xml:space="preserve">, no </w:t>
      </w:r>
      <w:r w:rsidR="007F598D" w:rsidRPr="004836F6">
        <w:rPr>
          <w:rFonts w:ascii="Bookman Old Style" w:hAnsi="Bookman Old Style"/>
          <w:sz w:val="27"/>
          <w:szCs w:val="27"/>
        </w:rPr>
        <w:t xml:space="preserve">a los </w:t>
      </w:r>
      <w:r w:rsidR="00B62906" w:rsidRPr="004836F6">
        <w:rPr>
          <w:rFonts w:ascii="Bookman Old Style" w:hAnsi="Bookman Old Style"/>
          <w:sz w:val="27"/>
          <w:szCs w:val="27"/>
        </w:rPr>
        <w:t xml:space="preserve">que </w:t>
      </w:r>
      <w:r w:rsidR="00B62906" w:rsidRPr="004836F6">
        <w:rPr>
          <w:rFonts w:ascii="Bookman Old Style" w:hAnsi="Bookman Old Style"/>
          <w:i/>
          <w:sz w:val="27"/>
          <w:szCs w:val="27"/>
        </w:rPr>
        <w:t>conminan al Estado</w:t>
      </w:r>
      <w:r w:rsidR="00B62906" w:rsidRPr="004836F6">
        <w:rPr>
          <w:rFonts w:ascii="Bookman Old Style" w:hAnsi="Bookman Old Style"/>
          <w:sz w:val="27"/>
          <w:szCs w:val="27"/>
        </w:rPr>
        <w:t xml:space="preserve">, </w:t>
      </w:r>
      <w:r w:rsidR="00D164B4" w:rsidRPr="004836F6">
        <w:rPr>
          <w:rFonts w:ascii="Bookman Old Style" w:hAnsi="Bookman Old Style"/>
          <w:sz w:val="27"/>
          <w:szCs w:val="27"/>
        </w:rPr>
        <w:t>encarn</w:t>
      </w:r>
      <w:r w:rsidR="009675F5" w:rsidRPr="004836F6">
        <w:rPr>
          <w:rFonts w:ascii="Bookman Old Style" w:hAnsi="Bookman Old Style"/>
          <w:sz w:val="27"/>
          <w:szCs w:val="27"/>
        </w:rPr>
        <w:t>ado</w:t>
      </w:r>
      <w:r w:rsidR="00394C72" w:rsidRPr="004836F6">
        <w:rPr>
          <w:rFonts w:ascii="Bookman Old Style" w:hAnsi="Bookman Old Style"/>
          <w:sz w:val="25"/>
          <w:szCs w:val="25"/>
        </w:rPr>
        <w:t xml:space="preserve"> -en la Ley 600-</w:t>
      </w:r>
      <w:r w:rsidR="00394C72" w:rsidRPr="004836F6">
        <w:rPr>
          <w:rFonts w:ascii="Bookman Old Style" w:hAnsi="Bookman Old Style"/>
          <w:sz w:val="27"/>
          <w:szCs w:val="27"/>
        </w:rPr>
        <w:t xml:space="preserve"> </w:t>
      </w:r>
      <w:r w:rsidR="009675F5" w:rsidRPr="004836F6">
        <w:rPr>
          <w:rFonts w:ascii="Bookman Old Style" w:hAnsi="Bookman Old Style"/>
          <w:sz w:val="27"/>
          <w:szCs w:val="27"/>
        </w:rPr>
        <w:t>e</w:t>
      </w:r>
      <w:r w:rsidR="00B62906" w:rsidRPr="004836F6">
        <w:rPr>
          <w:rFonts w:ascii="Bookman Old Style" w:hAnsi="Bookman Old Style"/>
          <w:sz w:val="27"/>
          <w:szCs w:val="27"/>
        </w:rPr>
        <w:t>n el funcionario judicial, ll</w:t>
      </w:r>
      <w:r w:rsidR="009B1F3D" w:rsidRPr="004836F6">
        <w:rPr>
          <w:rFonts w:ascii="Bookman Old Style" w:hAnsi="Bookman Old Style"/>
          <w:sz w:val="27"/>
          <w:szCs w:val="27"/>
        </w:rPr>
        <w:t>ámese juez o fiscal, so pena de aplicarse una sanción</w:t>
      </w:r>
      <w:r w:rsidR="00306434" w:rsidRPr="004836F6">
        <w:rPr>
          <w:rFonts w:ascii="Bookman Old Style" w:hAnsi="Bookman Old Style"/>
          <w:sz w:val="27"/>
          <w:szCs w:val="27"/>
        </w:rPr>
        <w:t xml:space="preserve"> procesal</w:t>
      </w:r>
      <w:r w:rsidR="009B1F3D" w:rsidRPr="004836F6">
        <w:rPr>
          <w:rFonts w:ascii="Bookman Old Style" w:hAnsi="Bookman Old Style"/>
          <w:sz w:val="27"/>
          <w:szCs w:val="27"/>
        </w:rPr>
        <w:t xml:space="preserve">, como </w:t>
      </w:r>
      <w:r w:rsidR="001370C7" w:rsidRPr="004836F6">
        <w:rPr>
          <w:rFonts w:ascii="Bookman Old Style" w:hAnsi="Bookman Old Style"/>
          <w:sz w:val="27"/>
          <w:szCs w:val="27"/>
        </w:rPr>
        <w:t>la libertad por vencimiento de t</w:t>
      </w:r>
      <w:r w:rsidR="00B53B2F" w:rsidRPr="004836F6">
        <w:rPr>
          <w:rFonts w:ascii="Bookman Old Style" w:hAnsi="Bookman Old Style"/>
          <w:sz w:val="27"/>
          <w:szCs w:val="27"/>
        </w:rPr>
        <w:t>érminos o</w:t>
      </w:r>
      <w:r w:rsidR="001370C7" w:rsidRPr="004836F6">
        <w:rPr>
          <w:rFonts w:ascii="Bookman Old Style" w:hAnsi="Bookman Old Style"/>
          <w:sz w:val="27"/>
          <w:szCs w:val="27"/>
        </w:rPr>
        <w:t xml:space="preserve"> la sustitución de la detenci</w:t>
      </w:r>
      <w:r w:rsidR="00B53B2F" w:rsidRPr="004836F6">
        <w:rPr>
          <w:rFonts w:ascii="Bookman Old Style" w:hAnsi="Bookman Old Style"/>
          <w:sz w:val="27"/>
          <w:szCs w:val="27"/>
        </w:rPr>
        <w:t xml:space="preserve">ón. </w:t>
      </w:r>
    </w:p>
    <w:p w:rsidR="00A01356" w:rsidRPr="004836F6" w:rsidRDefault="009675F5" w:rsidP="00315FB3">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lastRenderedPageBreak/>
        <w:t xml:space="preserve"> </w:t>
      </w:r>
      <w:r w:rsidR="00D91A14" w:rsidRPr="004836F6">
        <w:rPr>
          <w:rFonts w:ascii="Bookman Old Style" w:hAnsi="Bookman Old Style"/>
          <w:sz w:val="27"/>
          <w:szCs w:val="27"/>
        </w:rPr>
        <w:t xml:space="preserve">2.5.2 </w:t>
      </w:r>
      <w:r w:rsidR="00D1195B" w:rsidRPr="004836F6">
        <w:rPr>
          <w:rFonts w:ascii="Bookman Old Style" w:hAnsi="Bookman Old Style"/>
          <w:sz w:val="27"/>
          <w:szCs w:val="27"/>
        </w:rPr>
        <w:t xml:space="preserve">En segundo orden, tampoco considera la Sala que </w:t>
      </w:r>
      <w:r w:rsidR="00A01356" w:rsidRPr="004836F6">
        <w:rPr>
          <w:rFonts w:ascii="Bookman Old Style" w:hAnsi="Bookman Old Style"/>
          <w:sz w:val="27"/>
          <w:szCs w:val="27"/>
        </w:rPr>
        <w:t xml:space="preserve">la prórroga de la vigencia de la medida de aseguramiento en el presente caso haya sido extemporánea, lo cual descarta una vía de hecho en la aplicación del debido proceso. </w:t>
      </w:r>
    </w:p>
    <w:p w:rsidR="00F660C3" w:rsidRPr="004836F6" w:rsidRDefault="00F660C3" w:rsidP="00315FB3">
      <w:pPr>
        <w:spacing w:after="0" w:line="336" w:lineRule="auto"/>
        <w:ind w:firstLine="705"/>
        <w:jc w:val="both"/>
        <w:rPr>
          <w:rFonts w:ascii="Bookman Old Style" w:hAnsi="Bookman Old Style"/>
          <w:sz w:val="27"/>
          <w:szCs w:val="27"/>
        </w:rPr>
      </w:pPr>
    </w:p>
    <w:p w:rsidR="00F660C3" w:rsidRPr="004836F6" w:rsidRDefault="00F660C3" w:rsidP="00315FB3">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 xml:space="preserve">Para el demandante, </w:t>
      </w:r>
      <w:r w:rsidR="00D32C8C" w:rsidRPr="004836F6">
        <w:rPr>
          <w:rFonts w:ascii="Bookman Old Style" w:hAnsi="Bookman Old Style"/>
          <w:sz w:val="27"/>
          <w:szCs w:val="27"/>
        </w:rPr>
        <w:t xml:space="preserve">el juez no podía extender el mencionado plazo, por cuanto, en su criterio, había fenecido la oportunidad para decretar la prórroga. </w:t>
      </w:r>
      <w:r w:rsidR="00FC4F64" w:rsidRPr="004836F6">
        <w:rPr>
          <w:rFonts w:ascii="Bookman Old Style" w:hAnsi="Bookman Old Style"/>
          <w:sz w:val="27"/>
          <w:szCs w:val="27"/>
        </w:rPr>
        <w:t>Mas tal apreciación se ofrece in</w:t>
      </w:r>
      <w:r w:rsidR="00347EEC" w:rsidRPr="004836F6">
        <w:rPr>
          <w:rFonts w:ascii="Bookman Old Style" w:hAnsi="Bookman Old Style"/>
          <w:sz w:val="27"/>
          <w:szCs w:val="27"/>
        </w:rPr>
        <w:t xml:space="preserve">fortunada, en la medida en que </w:t>
      </w:r>
      <w:r w:rsidR="004F5244" w:rsidRPr="004836F6">
        <w:rPr>
          <w:rFonts w:ascii="Bookman Old Style" w:hAnsi="Bookman Old Style"/>
          <w:sz w:val="27"/>
          <w:szCs w:val="27"/>
        </w:rPr>
        <w:t xml:space="preserve">las normas de la Ley 1786 de 2016 que consagran dicha figura no le confieren un carácter </w:t>
      </w:r>
      <w:proofErr w:type="spellStart"/>
      <w:r w:rsidR="004F5244" w:rsidRPr="004836F6">
        <w:rPr>
          <w:rFonts w:ascii="Bookman Old Style" w:hAnsi="Bookman Old Style"/>
          <w:i/>
          <w:sz w:val="27"/>
          <w:szCs w:val="27"/>
        </w:rPr>
        <w:t>preclusivo</w:t>
      </w:r>
      <w:proofErr w:type="spellEnd"/>
      <w:r w:rsidR="004F5244" w:rsidRPr="004836F6">
        <w:rPr>
          <w:rFonts w:ascii="Bookman Old Style" w:hAnsi="Bookman Old Style"/>
          <w:sz w:val="27"/>
          <w:szCs w:val="27"/>
        </w:rPr>
        <w:t xml:space="preserve"> a la inobservancia del término para decretar la extensión del plazo, sino que se trata de un precepto facultativo, que no impide al juez </w:t>
      </w:r>
      <w:r w:rsidR="00130E21" w:rsidRPr="004836F6">
        <w:rPr>
          <w:rFonts w:ascii="Bookman Old Style" w:hAnsi="Bookman Old Style"/>
          <w:sz w:val="27"/>
          <w:szCs w:val="27"/>
        </w:rPr>
        <w:t xml:space="preserve">analizar, al momento de decidir sobre la sustitución de la medida, si </w:t>
      </w:r>
      <w:r w:rsidR="00A91E6C" w:rsidRPr="004836F6">
        <w:rPr>
          <w:rFonts w:ascii="Bookman Old Style" w:hAnsi="Bookman Old Style"/>
          <w:sz w:val="27"/>
          <w:szCs w:val="27"/>
        </w:rPr>
        <w:t xml:space="preserve">se dan los </w:t>
      </w:r>
      <w:r w:rsidR="00130E21" w:rsidRPr="004836F6">
        <w:rPr>
          <w:rFonts w:ascii="Bookman Old Style" w:hAnsi="Bookman Old Style"/>
          <w:sz w:val="27"/>
          <w:szCs w:val="27"/>
        </w:rPr>
        <w:t>casos exce</w:t>
      </w:r>
      <w:r w:rsidR="00A91E6C" w:rsidRPr="004836F6">
        <w:rPr>
          <w:rFonts w:ascii="Bookman Old Style" w:hAnsi="Bookman Old Style"/>
          <w:sz w:val="27"/>
          <w:szCs w:val="27"/>
        </w:rPr>
        <w:t xml:space="preserve">pcionales previstos por la ley para justificar la prolongación del plazo razonable. </w:t>
      </w:r>
    </w:p>
    <w:p w:rsidR="00F57F4B" w:rsidRPr="004836F6" w:rsidRDefault="00F57F4B" w:rsidP="00315FB3">
      <w:pPr>
        <w:spacing w:after="0" w:line="336" w:lineRule="auto"/>
        <w:ind w:firstLine="705"/>
        <w:jc w:val="both"/>
        <w:rPr>
          <w:rFonts w:ascii="Bookman Old Style" w:hAnsi="Bookman Old Style"/>
          <w:sz w:val="27"/>
          <w:szCs w:val="27"/>
        </w:rPr>
      </w:pPr>
    </w:p>
    <w:p w:rsidR="007977FF" w:rsidRPr="004836F6" w:rsidRDefault="00F57F4B" w:rsidP="00D32348">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 xml:space="preserve">De un lado, el art. 1º inc. 1º de la mencionada ley, </w:t>
      </w:r>
      <w:proofErr w:type="spellStart"/>
      <w:r w:rsidRPr="004836F6">
        <w:rPr>
          <w:rFonts w:ascii="Bookman Old Style" w:hAnsi="Bookman Old Style"/>
          <w:sz w:val="27"/>
          <w:szCs w:val="27"/>
        </w:rPr>
        <w:t>reitérase</w:t>
      </w:r>
      <w:proofErr w:type="spellEnd"/>
      <w:r w:rsidRPr="004836F6">
        <w:rPr>
          <w:rFonts w:ascii="Bookman Old Style" w:hAnsi="Bookman Old Style"/>
          <w:sz w:val="27"/>
          <w:szCs w:val="27"/>
        </w:rPr>
        <w:t xml:space="preserve">, dispone que el término -en procesos de Ley 906- </w:t>
      </w:r>
      <w:r w:rsidRPr="004836F6">
        <w:rPr>
          <w:rFonts w:ascii="Bookman Old Style" w:hAnsi="Bookman Old Style"/>
          <w:i/>
          <w:sz w:val="27"/>
          <w:szCs w:val="27"/>
        </w:rPr>
        <w:t>podrá</w:t>
      </w:r>
      <w:r w:rsidRPr="004836F6">
        <w:rPr>
          <w:rFonts w:ascii="Bookman Old Style" w:hAnsi="Bookman Old Style"/>
          <w:sz w:val="27"/>
          <w:szCs w:val="27"/>
        </w:rPr>
        <w:t xml:space="preserve"> prorrogarse, mientras que el art. 3º </w:t>
      </w:r>
      <w:r w:rsidRPr="004836F6">
        <w:rPr>
          <w:rFonts w:ascii="Bookman Old Style" w:hAnsi="Bookman Old Style"/>
          <w:i/>
          <w:sz w:val="27"/>
          <w:szCs w:val="27"/>
        </w:rPr>
        <w:t>ídem</w:t>
      </w:r>
      <w:r w:rsidRPr="004836F6">
        <w:rPr>
          <w:rFonts w:ascii="Bookman Old Style" w:hAnsi="Bookman Old Style"/>
          <w:sz w:val="27"/>
          <w:szCs w:val="27"/>
        </w:rPr>
        <w:t xml:space="preserve"> preceptúa </w:t>
      </w:r>
      <w:r w:rsidR="007977FF" w:rsidRPr="004836F6">
        <w:rPr>
          <w:rFonts w:ascii="Bookman Old Style" w:hAnsi="Bookman Old Style"/>
          <w:sz w:val="27"/>
          <w:szCs w:val="27"/>
        </w:rPr>
        <w:t>que “</w:t>
      </w:r>
      <w:r w:rsidR="007977FF" w:rsidRPr="004836F6">
        <w:rPr>
          <w:rFonts w:ascii="Bookman Old Style" w:hAnsi="Bookman Old Style"/>
          <w:i/>
          <w:sz w:val="27"/>
          <w:szCs w:val="27"/>
        </w:rPr>
        <w:t xml:space="preserve">la prórroga del término máximo de las medidas de aseguramiento privativas de la libertad a la que hace referencia el artículo 1º de la Ley 1760 de 2015 </w:t>
      </w:r>
      <w:r w:rsidR="007977FF" w:rsidRPr="004836F6">
        <w:rPr>
          <w:rFonts w:ascii="Bookman Old Style" w:hAnsi="Bookman Old Style"/>
          <w:b/>
          <w:i/>
          <w:sz w:val="27"/>
          <w:szCs w:val="27"/>
          <w:u w:val="single"/>
        </w:rPr>
        <w:t>podrá</w:t>
      </w:r>
      <w:r w:rsidR="007977FF" w:rsidRPr="004836F6">
        <w:rPr>
          <w:rFonts w:ascii="Bookman Old Style" w:hAnsi="Bookman Old Style"/>
          <w:i/>
          <w:sz w:val="27"/>
          <w:szCs w:val="27"/>
        </w:rPr>
        <w:t xml:space="preserve"> solicitarse ante el juez de control de garantías dentro de los dos meses anteriores a su vencimiento, incluso desde antes de que dicho artículo entre en vigencia</w:t>
      </w:r>
      <w:r w:rsidR="007977FF" w:rsidRPr="004836F6">
        <w:rPr>
          <w:rFonts w:ascii="Bookman Old Style" w:hAnsi="Bookman Old Style"/>
          <w:sz w:val="27"/>
          <w:szCs w:val="27"/>
        </w:rPr>
        <w:t xml:space="preserve">”. </w:t>
      </w:r>
    </w:p>
    <w:p w:rsidR="00C559FB" w:rsidRPr="004836F6" w:rsidRDefault="00C559FB" w:rsidP="00D32348">
      <w:pPr>
        <w:spacing w:after="0" w:line="336" w:lineRule="auto"/>
        <w:ind w:firstLine="705"/>
        <w:jc w:val="both"/>
        <w:rPr>
          <w:rFonts w:ascii="Bookman Old Style" w:hAnsi="Bookman Old Style"/>
          <w:sz w:val="27"/>
          <w:szCs w:val="27"/>
        </w:rPr>
      </w:pPr>
    </w:p>
    <w:p w:rsidR="0056613E" w:rsidRPr="004836F6" w:rsidRDefault="00C559FB" w:rsidP="00D32348">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Del tenor literal de las dos norm</w:t>
      </w:r>
      <w:r w:rsidR="0056613E" w:rsidRPr="004836F6">
        <w:rPr>
          <w:rFonts w:ascii="Bookman Old Style" w:hAnsi="Bookman Old Style"/>
          <w:sz w:val="27"/>
          <w:szCs w:val="27"/>
        </w:rPr>
        <w:t xml:space="preserve">as en comento salta a la vista que sólo en asuntos tramitados por la Ley 906 de 2004 </w:t>
      </w:r>
      <w:r w:rsidR="00B90B0E" w:rsidRPr="004836F6">
        <w:rPr>
          <w:rFonts w:ascii="Bookman Old Style" w:hAnsi="Bookman Old Style"/>
          <w:sz w:val="27"/>
          <w:szCs w:val="27"/>
        </w:rPr>
        <w:t>se requiere de la solicitud de prórroga para la extensión</w:t>
      </w:r>
      <w:r w:rsidR="00357E0B" w:rsidRPr="004836F6">
        <w:rPr>
          <w:rFonts w:ascii="Bookman Old Style" w:hAnsi="Bookman Old Style"/>
          <w:sz w:val="27"/>
          <w:szCs w:val="27"/>
        </w:rPr>
        <w:t xml:space="preserve"> del plazo, </w:t>
      </w:r>
      <w:r w:rsidR="00357E0B" w:rsidRPr="004836F6">
        <w:rPr>
          <w:rFonts w:ascii="Bookman Old Style" w:hAnsi="Bookman Old Style"/>
          <w:sz w:val="27"/>
          <w:szCs w:val="27"/>
        </w:rPr>
        <w:lastRenderedPageBreak/>
        <w:t>sin que tal condicionamiento opere en procesos seguidos por la Ley 600 de 2000.</w:t>
      </w:r>
    </w:p>
    <w:p w:rsidR="00C03587" w:rsidRPr="004836F6" w:rsidRDefault="00C03587" w:rsidP="00D5512A">
      <w:pPr>
        <w:spacing w:after="0" w:line="336" w:lineRule="auto"/>
        <w:ind w:firstLine="705"/>
        <w:jc w:val="both"/>
        <w:rPr>
          <w:rFonts w:ascii="Bookman Old Style" w:hAnsi="Bookman Old Style"/>
          <w:sz w:val="27"/>
          <w:szCs w:val="27"/>
        </w:rPr>
      </w:pPr>
    </w:p>
    <w:p w:rsidR="00C03587" w:rsidRPr="004836F6" w:rsidRDefault="00C03587" w:rsidP="00D5512A">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 xml:space="preserve">Ahora, si bien el art. 3º de la Ley 1786 de 2016 dispuso un término de 2 meses anteriores al vencimiento del </w:t>
      </w:r>
      <w:r w:rsidR="00BE76F4" w:rsidRPr="004836F6">
        <w:rPr>
          <w:rFonts w:ascii="Bookman Old Style" w:hAnsi="Bookman Old Style"/>
          <w:sz w:val="27"/>
          <w:szCs w:val="27"/>
        </w:rPr>
        <w:t>término</w:t>
      </w:r>
      <w:r w:rsidRPr="004836F6">
        <w:rPr>
          <w:rFonts w:ascii="Bookman Old Style" w:hAnsi="Bookman Old Style"/>
          <w:sz w:val="27"/>
          <w:szCs w:val="27"/>
        </w:rPr>
        <w:t xml:space="preserve"> máximo de un año de vigencia de la detención para que se solicite la prórroga ante el juez de control de garantías, ese </w:t>
      </w:r>
      <w:r w:rsidR="00A80D20" w:rsidRPr="004836F6">
        <w:rPr>
          <w:rFonts w:ascii="Bookman Old Style" w:hAnsi="Bookman Old Style"/>
          <w:sz w:val="27"/>
          <w:szCs w:val="27"/>
        </w:rPr>
        <w:t>plazo</w:t>
      </w:r>
      <w:r w:rsidRPr="004836F6">
        <w:rPr>
          <w:rFonts w:ascii="Bookman Old Style" w:hAnsi="Bookman Old Style"/>
          <w:sz w:val="27"/>
          <w:szCs w:val="27"/>
        </w:rPr>
        <w:t xml:space="preserve"> para la petición de prolongación no </w:t>
      </w:r>
      <w:r w:rsidR="00A835A5" w:rsidRPr="004836F6">
        <w:rPr>
          <w:rFonts w:ascii="Bookman Old Style" w:hAnsi="Bookman Old Style"/>
          <w:sz w:val="27"/>
          <w:szCs w:val="27"/>
        </w:rPr>
        <w:t xml:space="preserve">ostenta una naturaleza </w:t>
      </w:r>
      <w:proofErr w:type="spellStart"/>
      <w:r w:rsidR="00A835A5" w:rsidRPr="004836F6">
        <w:rPr>
          <w:rFonts w:ascii="Bookman Old Style" w:hAnsi="Bookman Old Style"/>
          <w:sz w:val="27"/>
          <w:szCs w:val="27"/>
        </w:rPr>
        <w:t>preclusiva</w:t>
      </w:r>
      <w:proofErr w:type="spellEnd"/>
      <w:r w:rsidR="00A835A5" w:rsidRPr="004836F6">
        <w:rPr>
          <w:rFonts w:ascii="Bookman Old Style" w:hAnsi="Bookman Old Style"/>
          <w:sz w:val="27"/>
          <w:szCs w:val="27"/>
        </w:rPr>
        <w:t xml:space="preserve">. Es decir, su desconocimiento no comporta la imposibilidad de que, con posterioridad, el fiscal pueda </w:t>
      </w:r>
      <w:r w:rsidR="00A835A5" w:rsidRPr="004836F6">
        <w:rPr>
          <w:rFonts w:ascii="Bookman Old Style" w:hAnsi="Bookman Old Style"/>
          <w:sz w:val="25"/>
          <w:szCs w:val="25"/>
        </w:rPr>
        <w:t xml:space="preserve">-en procesos regidos por la Ley 906 de 2004- </w:t>
      </w:r>
      <w:r w:rsidR="00A835A5" w:rsidRPr="004836F6">
        <w:rPr>
          <w:rFonts w:ascii="Bookman Old Style" w:hAnsi="Bookman Old Style"/>
          <w:sz w:val="27"/>
          <w:szCs w:val="27"/>
        </w:rPr>
        <w:t>solicitarle al juez, en audiencia preliminar con tal objeto o en el marco de audien</w:t>
      </w:r>
      <w:r w:rsidR="007F08D8" w:rsidRPr="004836F6">
        <w:rPr>
          <w:rFonts w:ascii="Bookman Old Style" w:hAnsi="Bookman Old Style"/>
          <w:sz w:val="27"/>
          <w:szCs w:val="27"/>
        </w:rPr>
        <w:t>cia para aplicar la sustitución</w:t>
      </w:r>
      <w:r w:rsidR="00A835A5" w:rsidRPr="004836F6">
        <w:rPr>
          <w:rFonts w:ascii="Bookman Old Style" w:hAnsi="Bookman Old Style"/>
          <w:sz w:val="27"/>
          <w:szCs w:val="27"/>
        </w:rPr>
        <w:t xml:space="preserve">. </w:t>
      </w:r>
    </w:p>
    <w:p w:rsidR="00357E0B" w:rsidRPr="004836F6" w:rsidRDefault="00357E0B" w:rsidP="00D5512A">
      <w:pPr>
        <w:spacing w:after="0" w:line="336" w:lineRule="auto"/>
        <w:ind w:firstLine="705"/>
        <w:jc w:val="both"/>
        <w:rPr>
          <w:rFonts w:ascii="Bookman Old Style" w:hAnsi="Bookman Old Style"/>
          <w:sz w:val="27"/>
          <w:szCs w:val="27"/>
        </w:rPr>
      </w:pPr>
    </w:p>
    <w:p w:rsidR="00CA3834" w:rsidRDefault="00A835A5" w:rsidP="00CA3834">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 xml:space="preserve">No puede pasarse por alto que la Ley 1786 de 2016 </w:t>
      </w:r>
      <w:r w:rsidR="00CA3834" w:rsidRPr="004836F6">
        <w:rPr>
          <w:rFonts w:ascii="Bookman Old Style" w:hAnsi="Bookman Old Style"/>
          <w:sz w:val="27"/>
          <w:szCs w:val="27"/>
        </w:rPr>
        <w:t xml:space="preserve">encuentra razón de ser en la evitación de una </w:t>
      </w:r>
      <w:r w:rsidR="00BB32A2" w:rsidRPr="004836F6">
        <w:rPr>
          <w:rFonts w:ascii="Bookman Old Style" w:hAnsi="Bookman Old Style"/>
          <w:sz w:val="27"/>
          <w:szCs w:val="27"/>
        </w:rPr>
        <w:t>liberación multitudinaria de personas detenidas,</w:t>
      </w:r>
      <w:r w:rsidR="00CA3834" w:rsidRPr="004836F6">
        <w:rPr>
          <w:rFonts w:ascii="Bookman Old Style" w:hAnsi="Bookman Old Style"/>
          <w:sz w:val="27"/>
          <w:szCs w:val="27"/>
        </w:rPr>
        <w:t xml:space="preserve"> producto de la entrada en vigor de las disposiciones adoptadas</w:t>
      </w:r>
      <w:r w:rsidR="000B29AC" w:rsidRPr="004836F6">
        <w:rPr>
          <w:rFonts w:ascii="Bookman Old Style" w:hAnsi="Bookman Old Style"/>
          <w:sz w:val="27"/>
          <w:szCs w:val="27"/>
        </w:rPr>
        <w:t>,</w:t>
      </w:r>
      <w:r w:rsidR="00CA3834" w:rsidRPr="004836F6">
        <w:rPr>
          <w:rFonts w:ascii="Bookman Old Style" w:hAnsi="Bookman Old Style"/>
          <w:sz w:val="27"/>
          <w:szCs w:val="27"/>
        </w:rPr>
        <w:t xml:space="preserve"> inicialmente</w:t>
      </w:r>
      <w:r w:rsidR="000B29AC" w:rsidRPr="004836F6">
        <w:rPr>
          <w:rFonts w:ascii="Bookman Old Style" w:hAnsi="Bookman Old Style"/>
          <w:sz w:val="27"/>
          <w:szCs w:val="27"/>
        </w:rPr>
        <w:t>,</w:t>
      </w:r>
      <w:r w:rsidR="00CA3834" w:rsidRPr="004836F6">
        <w:rPr>
          <w:rFonts w:ascii="Bookman Old Style" w:hAnsi="Bookman Old Style"/>
          <w:sz w:val="27"/>
          <w:szCs w:val="27"/>
        </w:rPr>
        <w:t xml:space="preserve"> a través de la Ley 1760 de 2015. </w:t>
      </w:r>
      <w:r w:rsidR="00B606A8" w:rsidRPr="004836F6">
        <w:rPr>
          <w:rFonts w:ascii="Bookman Old Style" w:hAnsi="Bookman Old Style"/>
          <w:sz w:val="27"/>
          <w:szCs w:val="27"/>
        </w:rPr>
        <w:t xml:space="preserve">Desde esa perspectiva, </w:t>
      </w:r>
      <w:r w:rsidR="00CC0122" w:rsidRPr="004836F6">
        <w:rPr>
          <w:rFonts w:ascii="Bookman Old Style" w:hAnsi="Bookman Old Style"/>
          <w:sz w:val="27"/>
          <w:szCs w:val="27"/>
        </w:rPr>
        <w:t>en el art. 3º de la Ley 1786</w:t>
      </w:r>
      <w:r w:rsidR="000F1927" w:rsidRPr="004836F6">
        <w:rPr>
          <w:rFonts w:ascii="Bookman Old Style" w:hAnsi="Bookman Old Style"/>
          <w:sz w:val="27"/>
          <w:szCs w:val="27"/>
        </w:rPr>
        <w:t xml:space="preserve"> de 2016</w:t>
      </w:r>
      <w:r w:rsidR="00CC0122" w:rsidRPr="004836F6">
        <w:rPr>
          <w:rFonts w:ascii="Bookman Old Style" w:hAnsi="Bookman Old Style"/>
          <w:sz w:val="27"/>
          <w:szCs w:val="27"/>
        </w:rPr>
        <w:t xml:space="preserve">, que establece un término para solicitar la prórroga, </w:t>
      </w:r>
      <w:r w:rsidR="00F02643" w:rsidRPr="004836F6">
        <w:rPr>
          <w:rFonts w:ascii="Bookman Old Style" w:hAnsi="Bookman Old Style"/>
          <w:sz w:val="27"/>
          <w:szCs w:val="27"/>
        </w:rPr>
        <w:t xml:space="preserve">se identifica un propósito </w:t>
      </w:r>
      <w:r w:rsidR="00F02643" w:rsidRPr="004836F6">
        <w:rPr>
          <w:rFonts w:ascii="Bookman Old Style" w:hAnsi="Bookman Old Style"/>
          <w:i/>
          <w:sz w:val="27"/>
          <w:szCs w:val="27"/>
        </w:rPr>
        <w:t>precautorio</w:t>
      </w:r>
      <w:r w:rsidR="00F02643" w:rsidRPr="004836F6">
        <w:rPr>
          <w:rFonts w:ascii="Bookman Old Style" w:hAnsi="Bookman Old Style"/>
          <w:sz w:val="27"/>
          <w:szCs w:val="27"/>
        </w:rPr>
        <w:t xml:space="preserve">, más que </w:t>
      </w:r>
      <w:proofErr w:type="spellStart"/>
      <w:r w:rsidR="00F02643" w:rsidRPr="004836F6">
        <w:rPr>
          <w:rFonts w:ascii="Bookman Old Style" w:hAnsi="Bookman Old Style"/>
          <w:sz w:val="27"/>
          <w:szCs w:val="27"/>
        </w:rPr>
        <w:t>preclusivo</w:t>
      </w:r>
      <w:proofErr w:type="spellEnd"/>
      <w:r w:rsidR="00F02643" w:rsidRPr="004836F6">
        <w:rPr>
          <w:rFonts w:ascii="Bookman Old Style" w:hAnsi="Bookman Old Style"/>
          <w:sz w:val="27"/>
          <w:szCs w:val="27"/>
        </w:rPr>
        <w:t xml:space="preserve">. </w:t>
      </w:r>
      <w:r w:rsidR="003603BF" w:rsidRPr="004836F6">
        <w:rPr>
          <w:rFonts w:ascii="Bookman Old Style" w:hAnsi="Bookman Old Style"/>
          <w:sz w:val="27"/>
          <w:szCs w:val="27"/>
        </w:rPr>
        <w:t xml:space="preserve">La nueva ley, según la exposición de motivos, </w:t>
      </w:r>
      <w:r w:rsidR="00CA3834" w:rsidRPr="004836F6">
        <w:rPr>
          <w:rFonts w:ascii="Bookman Old Style" w:hAnsi="Bookman Old Style"/>
          <w:sz w:val="27"/>
          <w:szCs w:val="27"/>
        </w:rPr>
        <w:t xml:space="preserve">fue justificada en que los procesos penales no habían avanzado con la agilidad esperada y el sistema jurídico no había logrado las modificaciones requeridas, que brindarían a los jueces y fiscales las herramientas para adelantar las actuaciones dentro de los tiempos originalmente previstos por la Ley 1760. Como consecuencia, se afirmó que era necesaria la extensión del plazo de entrada en vigencia de términos de detención preventiva para los procesos más complejos, a fin de evitar un escenario de excarcelación masiva e indiscriminada, que podría </w:t>
      </w:r>
      <w:r w:rsidR="00CA3834" w:rsidRPr="004836F6">
        <w:rPr>
          <w:rFonts w:ascii="Bookman Old Style" w:hAnsi="Bookman Old Style"/>
          <w:sz w:val="27"/>
          <w:szCs w:val="27"/>
        </w:rPr>
        <w:lastRenderedPageBreak/>
        <w:t>representar un peligro inminente para la seguridad de los ciudadanos y la administración de justicia</w:t>
      </w:r>
      <w:r w:rsidR="000F1927" w:rsidRPr="004836F6">
        <w:rPr>
          <w:rFonts w:ascii="Bookman Old Style" w:hAnsi="Bookman Old Style"/>
          <w:sz w:val="27"/>
          <w:szCs w:val="27"/>
        </w:rPr>
        <w:t>.</w:t>
      </w:r>
      <w:r w:rsidR="000F1927" w:rsidRPr="004836F6">
        <w:rPr>
          <w:rStyle w:val="Refdenotaalpie"/>
          <w:rFonts w:ascii="Bookman Old Style" w:hAnsi="Bookman Old Style"/>
          <w:sz w:val="27"/>
          <w:szCs w:val="27"/>
        </w:rPr>
        <w:footnoteReference w:id="20"/>
      </w:r>
      <w:r w:rsidR="006A7D3C" w:rsidRPr="004836F6">
        <w:rPr>
          <w:rFonts w:ascii="Times New Roman" w:hAnsi="Times New Roman"/>
        </w:rPr>
        <w:t xml:space="preserve"> </w:t>
      </w:r>
      <w:r w:rsidR="000F1927" w:rsidRPr="004836F6">
        <w:rPr>
          <w:rFonts w:ascii="Bookman Old Style" w:hAnsi="Bookman Old Style"/>
          <w:sz w:val="27"/>
          <w:szCs w:val="27"/>
        </w:rPr>
        <w:t>Ello</w:t>
      </w:r>
      <w:r w:rsidR="000743F8" w:rsidRPr="004836F6">
        <w:rPr>
          <w:rFonts w:ascii="Bookman Old Style" w:hAnsi="Bookman Old Style"/>
          <w:sz w:val="27"/>
          <w:szCs w:val="27"/>
        </w:rPr>
        <w:t>, precisamente,</w:t>
      </w:r>
      <w:r w:rsidR="000F1927" w:rsidRPr="004836F6">
        <w:rPr>
          <w:rFonts w:ascii="Bookman Old Style" w:hAnsi="Bookman Old Style"/>
          <w:sz w:val="27"/>
          <w:szCs w:val="27"/>
        </w:rPr>
        <w:t xml:space="preserve"> justifica que el art. 3º de la Ley 1786 hubiera entrado a regir con antelación a las normas referentes a la sustitución de la detención por vencimiento del plazo máximo de vigencia. </w:t>
      </w:r>
    </w:p>
    <w:p w:rsidR="00C911ED" w:rsidRDefault="00C911ED" w:rsidP="00CA3834">
      <w:pPr>
        <w:spacing w:after="0" w:line="336" w:lineRule="auto"/>
        <w:ind w:firstLine="705"/>
        <w:jc w:val="both"/>
        <w:rPr>
          <w:rFonts w:ascii="Bookman Old Style" w:hAnsi="Bookman Old Style"/>
          <w:sz w:val="27"/>
          <w:szCs w:val="27"/>
        </w:rPr>
      </w:pPr>
    </w:p>
    <w:p w:rsidR="00423876" w:rsidRPr="00A750F1" w:rsidRDefault="00C911ED" w:rsidP="00CA3834">
      <w:pPr>
        <w:spacing w:after="0" w:line="336" w:lineRule="auto"/>
        <w:ind w:firstLine="705"/>
        <w:jc w:val="both"/>
        <w:rPr>
          <w:rFonts w:ascii="Bookman Old Style" w:hAnsi="Bookman Old Style"/>
          <w:color w:val="000E2A"/>
          <w:sz w:val="27"/>
          <w:szCs w:val="27"/>
        </w:rPr>
      </w:pPr>
      <w:r>
        <w:rPr>
          <w:rFonts w:ascii="Bookman Old Style" w:hAnsi="Bookman Old Style"/>
          <w:sz w:val="27"/>
          <w:szCs w:val="27"/>
        </w:rPr>
        <w:tab/>
      </w:r>
      <w:r w:rsidRPr="00A750F1">
        <w:rPr>
          <w:rFonts w:ascii="Bookman Old Style" w:hAnsi="Bookman Old Style"/>
          <w:color w:val="000E2A"/>
          <w:sz w:val="27"/>
          <w:szCs w:val="27"/>
        </w:rPr>
        <w:t xml:space="preserve">En todo caso, </w:t>
      </w:r>
      <w:r w:rsidR="00A10EF6" w:rsidRPr="00095A6E">
        <w:rPr>
          <w:rFonts w:ascii="Bookman Old Style" w:hAnsi="Bookman Old Style"/>
          <w:sz w:val="27"/>
          <w:szCs w:val="27"/>
        </w:rPr>
        <w:t>rigiendo para el fiscal un deber de vigilancia y control sobre los términos del plazo razonable, el propósito precautorio asignado a la solicitud de prórroga con dos meses de antelaci</w:t>
      </w:r>
      <w:r w:rsidR="000E4654" w:rsidRPr="00095A6E">
        <w:rPr>
          <w:rFonts w:ascii="Bookman Old Style" w:hAnsi="Bookman Old Style"/>
          <w:sz w:val="27"/>
          <w:szCs w:val="27"/>
        </w:rPr>
        <w:t xml:space="preserve">ón al vencimiento implica que tal norma no pierde vigencia con la entrada  en vigor </w:t>
      </w:r>
      <w:r w:rsidR="00423876" w:rsidRPr="00095A6E">
        <w:rPr>
          <w:rFonts w:ascii="Bookman Old Style" w:hAnsi="Bookman Old Style"/>
          <w:sz w:val="25"/>
          <w:szCs w:val="25"/>
        </w:rPr>
        <w:t>-en su totalidad-</w:t>
      </w:r>
      <w:r w:rsidR="00423876" w:rsidRPr="00095A6E">
        <w:rPr>
          <w:rFonts w:ascii="Bookman Old Style" w:hAnsi="Bookman Old Style"/>
          <w:sz w:val="27"/>
          <w:szCs w:val="27"/>
        </w:rPr>
        <w:t xml:space="preserve"> </w:t>
      </w:r>
      <w:r w:rsidR="000E4654" w:rsidRPr="00095A6E">
        <w:rPr>
          <w:rFonts w:ascii="Bookman Old Style" w:hAnsi="Bookman Old Style"/>
          <w:sz w:val="27"/>
          <w:szCs w:val="27"/>
        </w:rPr>
        <w:t xml:space="preserve">de la Ley 1786 de 2016. </w:t>
      </w:r>
      <w:r w:rsidR="00B30838" w:rsidRPr="00095A6E">
        <w:rPr>
          <w:rFonts w:ascii="Bookman Old Style" w:hAnsi="Bookman Old Style"/>
          <w:sz w:val="27"/>
          <w:szCs w:val="27"/>
        </w:rPr>
        <w:t>Por consiguiente, los fiscales han de atender al máximo tal amonestación legal, pidiendo la extensión del plazo antes de que éste se venza, sin perjuicio de que, como última oportunidad, lo demande</w:t>
      </w:r>
      <w:r w:rsidR="00A72189">
        <w:rPr>
          <w:rFonts w:ascii="Bookman Old Style" w:hAnsi="Bookman Old Style"/>
          <w:sz w:val="27"/>
          <w:szCs w:val="27"/>
        </w:rPr>
        <w:t>n</w:t>
      </w:r>
      <w:r w:rsidR="00B30838" w:rsidRPr="00095A6E">
        <w:rPr>
          <w:rFonts w:ascii="Bookman Old Style" w:hAnsi="Bookman Old Style"/>
          <w:sz w:val="27"/>
          <w:szCs w:val="27"/>
        </w:rPr>
        <w:t xml:space="preserve"> </w:t>
      </w:r>
      <w:r w:rsidR="00423876" w:rsidRPr="00095A6E">
        <w:rPr>
          <w:rFonts w:ascii="Bookman Old Style" w:hAnsi="Bookman Old Style"/>
          <w:sz w:val="27"/>
          <w:szCs w:val="27"/>
        </w:rPr>
        <w:t>en curso de la audiencia preliminar sobre la solicitud de sustitución de la detención</w:t>
      </w:r>
      <w:r w:rsidR="00A750F1" w:rsidRPr="00095A6E">
        <w:rPr>
          <w:rFonts w:ascii="Bookman Old Style" w:hAnsi="Bookman Old Style"/>
          <w:sz w:val="27"/>
          <w:szCs w:val="27"/>
        </w:rPr>
        <w:t>.</w:t>
      </w:r>
    </w:p>
    <w:p w:rsidR="00A835A5" w:rsidRPr="004836F6" w:rsidRDefault="00A835A5" w:rsidP="00D5512A">
      <w:pPr>
        <w:spacing w:after="0" w:line="336" w:lineRule="auto"/>
        <w:ind w:firstLine="705"/>
        <w:jc w:val="both"/>
        <w:rPr>
          <w:rFonts w:ascii="Bookman Old Style" w:hAnsi="Bookman Old Style"/>
          <w:sz w:val="25"/>
          <w:szCs w:val="25"/>
        </w:rPr>
      </w:pPr>
    </w:p>
    <w:p w:rsidR="007F08D8" w:rsidRPr="004836F6" w:rsidRDefault="00AF3B3F" w:rsidP="00D5512A">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 xml:space="preserve">Ahora, </w:t>
      </w:r>
      <w:r w:rsidR="007F08D8" w:rsidRPr="004836F6">
        <w:rPr>
          <w:rFonts w:ascii="Bookman Old Style" w:hAnsi="Bookman Old Style"/>
          <w:sz w:val="27"/>
          <w:szCs w:val="27"/>
        </w:rPr>
        <w:t>como el proceso penal seguido en contra de SANTIAGO URIBE VÉLEZ se rige por la Ley 600 de 2000, donde, como se dijo, la prórroga del término opera de pleno derecho cuando se cumpla alguna de las condiciones legales para extenderlo a dos año</w:t>
      </w:r>
      <w:r w:rsidR="006D42DA" w:rsidRPr="004836F6">
        <w:rPr>
          <w:rFonts w:ascii="Bookman Old Style" w:hAnsi="Bookman Old Style"/>
          <w:sz w:val="27"/>
          <w:szCs w:val="27"/>
        </w:rPr>
        <w:t>s</w:t>
      </w:r>
      <w:r w:rsidR="007F08D8" w:rsidRPr="004836F6">
        <w:rPr>
          <w:rFonts w:ascii="Bookman Old Style" w:hAnsi="Bookman Old Style"/>
          <w:sz w:val="27"/>
          <w:szCs w:val="27"/>
        </w:rPr>
        <w:t xml:space="preserve"> </w:t>
      </w:r>
      <w:r w:rsidR="007F08D8" w:rsidRPr="004836F6">
        <w:rPr>
          <w:rFonts w:ascii="Bookman Old Style" w:hAnsi="Bookman Old Style"/>
          <w:sz w:val="25"/>
          <w:szCs w:val="25"/>
        </w:rPr>
        <w:t>-en el presente caso, por ser el juzgamiento competencia de los jueces penales especializados del circuito-</w:t>
      </w:r>
      <w:r w:rsidR="00BA2651" w:rsidRPr="004836F6">
        <w:rPr>
          <w:rFonts w:ascii="Bookman Old Style" w:hAnsi="Bookman Old Style"/>
          <w:sz w:val="25"/>
          <w:szCs w:val="25"/>
        </w:rPr>
        <w:t xml:space="preserve"> </w:t>
      </w:r>
      <w:r w:rsidR="00BA2651" w:rsidRPr="004836F6">
        <w:rPr>
          <w:rFonts w:ascii="Bookman Old Style" w:hAnsi="Bookman Old Style"/>
          <w:sz w:val="27"/>
          <w:szCs w:val="27"/>
        </w:rPr>
        <w:t xml:space="preserve">de entrada se descarta la supuesta extemporaneidad denunciada por el actor. </w:t>
      </w:r>
    </w:p>
    <w:p w:rsidR="00BA2651" w:rsidRPr="004836F6" w:rsidRDefault="00BA2651" w:rsidP="00315FB3">
      <w:pPr>
        <w:spacing w:after="0" w:line="336" w:lineRule="auto"/>
        <w:ind w:firstLine="705"/>
        <w:jc w:val="both"/>
        <w:rPr>
          <w:rFonts w:ascii="Bookman Old Style" w:hAnsi="Bookman Old Style"/>
          <w:sz w:val="27"/>
          <w:szCs w:val="27"/>
        </w:rPr>
      </w:pPr>
    </w:p>
    <w:p w:rsidR="00047D4F" w:rsidRPr="004836F6" w:rsidRDefault="00047D4F" w:rsidP="00315FB3">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 xml:space="preserve">De suerte que, </w:t>
      </w:r>
      <w:r w:rsidR="009E459C" w:rsidRPr="004836F6">
        <w:rPr>
          <w:rFonts w:ascii="Bookman Old Style" w:hAnsi="Bookman Old Style"/>
          <w:sz w:val="27"/>
          <w:szCs w:val="27"/>
        </w:rPr>
        <w:t xml:space="preserve">en el auto del 11 de agosto de 2017, más que haber </w:t>
      </w:r>
      <w:r w:rsidR="009E459C" w:rsidRPr="004836F6">
        <w:rPr>
          <w:rFonts w:ascii="Bookman Old Style" w:hAnsi="Bookman Old Style"/>
          <w:i/>
          <w:sz w:val="27"/>
          <w:szCs w:val="27"/>
        </w:rPr>
        <w:t>decretado</w:t>
      </w:r>
      <w:r w:rsidR="004A4DC9" w:rsidRPr="004836F6">
        <w:rPr>
          <w:rFonts w:ascii="Bookman Old Style" w:hAnsi="Bookman Old Style"/>
          <w:sz w:val="27"/>
          <w:szCs w:val="27"/>
        </w:rPr>
        <w:t xml:space="preserve"> </w:t>
      </w:r>
      <w:r w:rsidR="009E459C" w:rsidRPr="004836F6">
        <w:rPr>
          <w:rFonts w:ascii="Bookman Old Style" w:hAnsi="Bookman Old Style"/>
          <w:sz w:val="27"/>
          <w:szCs w:val="27"/>
        </w:rPr>
        <w:t xml:space="preserve">la prórroga de la vigencia de la medida de </w:t>
      </w:r>
      <w:r w:rsidR="009E459C" w:rsidRPr="004836F6">
        <w:rPr>
          <w:rFonts w:ascii="Bookman Old Style" w:hAnsi="Bookman Old Style"/>
          <w:sz w:val="27"/>
          <w:szCs w:val="27"/>
        </w:rPr>
        <w:lastRenderedPageBreak/>
        <w:t xml:space="preserve">aseguramiento, lo que hizo el juez fue aplicar el término extendido de dos años, para lo cual contaba con plena facultad legal, por la naturaleza del proceso. </w:t>
      </w:r>
      <w:r w:rsidR="009A03D1" w:rsidRPr="004836F6">
        <w:rPr>
          <w:rFonts w:ascii="Bookman Old Style" w:hAnsi="Bookman Old Style"/>
          <w:sz w:val="27"/>
          <w:szCs w:val="27"/>
        </w:rPr>
        <w:t xml:space="preserve">Y la cuestionada determinación, en todo caso, cuenta con una motivación pertinente en punto de la justificación para aplicar el término legal extendido de dos años, lo que implica la improcedencia de la sustitución de la detención. </w:t>
      </w:r>
    </w:p>
    <w:p w:rsidR="00892C59" w:rsidRPr="004836F6" w:rsidRDefault="00892C59" w:rsidP="00315FB3">
      <w:pPr>
        <w:spacing w:after="0" w:line="336" w:lineRule="auto"/>
        <w:ind w:firstLine="705"/>
        <w:jc w:val="both"/>
        <w:rPr>
          <w:rFonts w:ascii="Bookman Old Style" w:hAnsi="Bookman Old Style"/>
          <w:sz w:val="27"/>
          <w:szCs w:val="27"/>
        </w:rPr>
      </w:pPr>
    </w:p>
    <w:p w:rsidR="00892C59" w:rsidRDefault="00892C59" w:rsidP="00315FB3">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 xml:space="preserve">Por consiguiente, al no haberse presentado ningún defecto procedimental absoluto, el amparo solicitado ha de negarse. </w:t>
      </w:r>
    </w:p>
    <w:p w:rsidR="00095A6E" w:rsidRPr="004836F6" w:rsidRDefault="00095A6E" w:rsidP="00315FB3">
      <w:pPr>
        <w:spacing w:after="0" w:line="336" w:lineRule="auto"/>
        <w:ind w:firstLine="705"/>
        <w:jc w:val="both"/>
        <w:rPr>
          <w:rFonts w:ascii="Bookman Old Style" w:hAnsi="Bookman Old Style"/>
          <w:sz w:val="27"/>
          <w:szCs w:val="27"/>
        </w:rPr>
      </w:pPr>
    </w:p>
    <w:p w:rsidR="00463681" w:rsidRPr="004836F6" w:rsidRDefault="00DD791B" w:rsidP="00713D78">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 xml:space="preserve">En mérito de lo expuesto, </w:t>
      </w:r>
      <w:r w:rsidR="00B73E1E" w:rsidRPr="004836F6">
        <w:rPr>
          <w:rFonts w:ascii="Bookman Old Style" w:hAnsi="Bookman Old Style"/>
          <w:sz w:val="27"/>
          <w:szCs w:val="27"/>
        </w:rPr>
        <w:t>la</w:t>
      </w:r>
      <w:r w:rsidR="00B73E1E" w:rsidRPr="004836F6">
        <w:rPr>
          <w:rFonts w:ascii="Bookman Old Style" w:hAnsi="Bookman Old Style"/>
          <w:b/>
          <w:sz w:val="27"/>
          <w:szCs w:val="27"/>
        </w:rPr>
        <w:t xml:space="preserve"> SALA DE CASACIÓN PENAL DE LA </w:t>
      </w:r>
      <w:r w:rsidRPr="004836F6">
        <w:rPr>
          <w:rFonts w:ascii="Bookman Old Style" w:hAnsi="Bookman Old Style"/>
          <w:b/>
          <w:sz w:val="27"/>
          <w:szCs w:val="27"/>
        </w:rPr>
        <w:t>CORTE SUPREMA DE JUSTICIA</w:t>
      </w:r>
      <w:r w:rsidRPr="004836F6">
        <w:rPr>
          <w:rFonts w:ascii="Bookman Old Style" w:hAnsi="Bookman Old Style"/>
          <w:sz w:val="27"/>
          <w:szCs w:val="27"/>
        </w:rPr>
        <w:t>,</w:t>
      </w:r>
      <w:r w:rsidRPr="004836F6">
        <w:rPr>
          <w:rFonts w:ascii="Bookman Old Style" w:hAnsi="Bookman Old Style"/>
          <w:b/>
          <w:sz w:val="27"/>
          <w:szCs w:val="27"/>
        </w:rPr>
        <w:t xml:space="preserve"> </w:t>
      </w:r>
      <w:r w:rsidRPr="004836F6">
        <w:rPr>
          <w:rFonts w:ascii="Bookman Old Style" w:hAnsi="Bookman Old Style"/>
          <w:sz w:val="27"/>
          <w:szCs w:val="27"/>
        </w:rPr>
        <w:t>administrando justicia en nombre de la República y por autoridad de la Ley,</w:t>
      </w:r>
    </w:p>
    <w:p w:rsidR="00DD791B" w:rsidRPr="004836F6" w:rsidRDefault="00DD791B" w:rsidP="00713D78">
      <w:pPr>
        <w:spacing w:after="0" w:line="336" w:lineRule="auto"/>
        <w:ind w:firstLine="705"/>
        <w:jc w:val="both"/>
        <w:rPr>
          <w:rFonts w:ascii="Bookman Old Style" w:hAnsi="Bookman Old Style"/>
          <w:sz w:val="27"/>
          <w:szCs w:val="27"/>
        </w:rPr>
      </w:pPr>
      <w:r w:rsidRPr="004836F6">
        <w:rPr>
          <w:rFonts w:ascii="Bookman Old Style" w:hAnsi="Bookman Old Style"/>
          <w:sz w:val="27"/>
          <w:szCs w:val="27"/>
        </w:rPr>
        <w:t xml:space="preserve">  </w:t>
      </w:r>
    </w:p>
    <w:p w:rsidR="00DD791B" w:rsidRPr="004836F6" w:rsidRDefault="00DD791B" w:rsidP="00713D78">
      <w:pPr>
        <w:pStyle w:val="Ttulo2"/>
        <w:spacing w:line="336" w:lineRule="auto"/>
        <w:rPr>
          <w:rFonts w:ascii="Bookman Old Style" w:hAnsi="Bookman Old Style"/>
          <w:i w:val="0"/>
          <w:sz w:val="27"/>
          <w:szCs w:val="27"/>
        </w:rPr>
      </w:pPr>
      <w:r w:rsidRPr="004836F6">
        <w:rPr>
          <w:rFonts w:ascii="Bookman Old Style" w:hAnsi="Bookman Old Style"/>
          <w:i w:val="0"/>
          <w:sz w:val="27"/>
          <w:szCs w:val="27"/>
        </w:rPr>
        <w:t>RESUELVE</w:t>
      </w:r>
    </w:p>
    <w:p w:rsidR="00181326" w:rsidRPr="004836F6" w:rsidRDefault="00181326" w:rsidP="00713D78">
      <w:pPr>
        <w:pStyle w:val="Textoindependiente"/>
        <w:spacing w:line="336" w:lineRule="auto"/>
        <w:rPr>
          <w:rFonts w:ascii="Bookman Old Style" w:hAnsi="Bookman Old Style"/>
          <w:i w:val="0"/>
          <w:sz w:val="27"/>
          <w:szCs w:val="27"/>
        </w:rPr>
      </w:pPr>
    </w:p>
    <w:p w:rsidR="00892C59" w:rsidRPr="004836F6" w:rsidRDefault="00892C59" w:rsidP="00713D78">
      <w:pPr>
        <w:spacing w:after="0" w:line="336" w:lineRule="auto"/>
        <w:ind w:right="-1"/>
        <w:jc w:val="both"/>
        <w:rPr>
          <w:rFonts w:ascii="Bookman Old Style" w:hAnsi="Bookman Old Style"/>
          <w:bCs/>
          <w:sz w:val="27"/>
          <w:szCs w:val="27"/>
          <w:lang w:val="es-ES_tradnl"/>
        </w:rPr>
      </w:pPr>
      <w:r w:rsidRPr="004836F6">
        <w:rPr>
          <w:rFonts w:ascii="Bookman Old Style" w:hAnsi="Bookman Old Style"/>
          <w:b/>
          <w:sz w:val="27"/>
          <w:szCs w:val="27"/>
          <w:lang w:val="es-ES_tradnl"/>
        </w:rPr>
        <w:tab/>
        <w:t>Primero</w:t>
      </w:r>
      <w:r w:rsidRPr="004836F6">
        <w:rPr>
          <w:rFonts w:ascii="Bookman Old Style" w:hAnsi="Bookman Old Style"/>
          <w:sz w:val="27"/>
          <w:szCs w:val="27"/>
          <w:lang w:val="es-ES_tradnl"/>
        </w:rPr>
        <w:t xml:space="preserve">. Negar </w:t>
      </w:r>
      <w:r w:rsidRPr="004836F6">
        <w:rPr>
          <w:rFonts w:ascii="Bookman Old Style" w:hAnsi="Bookman Old Style"/>
          <w:bCs/>
          <w:sz w:val="27"/>
          <w:szCs w:val="27"/>
          <w:lang w:val="es-ES_tradnl"/>
        </w:rPr>
        <w:t xml:space="preserve">las pretensiones de la demanda. </w:t>
      </w:r>
    </w:p>
    <w:p w:rsidR="00892C59" w:rsidRPr="004836F6" w:rsidRDefault="00892C59" w:rsidP="00713D78">
      <w:pPr>
        <w:tabs>
          <w:tab w:val="right" w:pos="8364"/>
        </w:tabs>
        <w:spacing w:after="0" w:line="336" w:lineRule="auto"/>
        <w:ind w:right="-1"/>
        <w:jc w:val="both"/>
        <w:rPr>
          <w:rFonts w:ascii="Bookman Old Style" w:hAnsi="Bookman Old Style"/>
          <w:bCs/>
          <w:sz w:val="27"/>
          <w:szCs w:val="27"/>
          <w:lang w:val="es-ES_tradnl"/>
        </w:rPr>
      </w:pPr>
    </w:p>
    <w:p w:rsidR="00892C59" w:rsidRPr="004836F6" w:rsidRDefault="00892C59" w:rsidP="00713D78">
      <w:pPr>
        <w:spacing w:after="0" w:line="336" w:lineRule="auto"/>
        <w:ind w:right="-1"/>
        <w:jc w:val="both"/>
        <w:rPr>
          <w:rFonts w:ascii="Bookman Old Style" w:hAnsi="Bookman Old Style"/>
          <w:bCs/>
          <w:sz w:val="27"/>
          <w:szCs w:val="27"/>
          <w:lang w:val="es-ES_tradnl"/>
        </w:rPr>
      </w:pPr>
      <w:r w:rsidRPr="004836F6">
        <w:rPr>
          <w:rFonts w:ascii="Bookman Old Style" w:hAnsi="Bookman Old Style"/>
          <w:b/>
          <w:bCs/>
          <w:sz w:val="27"/>
          <w:szCs w:val="27"/>
          <w:lang w:val="es-ES_tradnl"/>
        </w:rPr>
        <w:tab/>
        <w:t>Segundo</w:t>
      </w:r>
      <w:r w:rsidRPr="004836F6">
        <w:rPr>
          <w:rFonts w:ascii="Bookman Old Style" w:hAnsi="Bookman Old Style"/>
          <w:bCs/>
          <w:sz w:val="27"/>
          <w:szCs w:val="27"/>
          <w:lang w:val="es-ES_tradnl"/>
        </w:rPr>
        <w:t>. Notificar esta sentencia de conformidad con el artículo 30 del Decreto 2591 de 1991.</w:t>
      </w:r>
    </w:p>
    <w:p w:rsidR="00713D78" w:rsidRPr="004836F6" w:rsidRDefault="00713D78" w:rsidP="00713D78">
      <w:pPr>
        <w:spacing w:after="0" w:line="336" w:lineRule="auto"/>
        <w:ind w:right="-1"/>
        <w:jc w:val="both"/>
        <w:rPr>
          <w:rFonts w:ascii="Bookman Old Style" w:hAnsi="Bookman Old Style"/>
          <w:bCs/>
          <w:sz w:val="27"/>
          <w:szCs w:val="27"/>
          <w:lang w:val="es-ES_tradnl"/>
        </w:rPr>
      </w:pPr>
    </w:p>
    <w:p w:rsidR="00892C59" w:rsidRDefault="00892C59" w:rsidP="00713D78">
      <w:pPr>
        <w:spacing w:after="0" w:line="336" w:lineRule="auto"/>
        <w:jc w:val="both"/>
        <w:rPr>
          <w:rFonts w:ascii="Bookman Old Style" w:hAnsi="Bookman Old Style" w:cs="Arial"/>
          <w:sz w:val="27"/>
          <w:szCs w:val="27"/>
        </w:rPr>
      </w:pPr>
      <w:r w:rsidRPr="004836F6">
        <w:rPr>
          <w:rFonts w:ascii="Bookman Old Style" w:hAnsi="Bookman Old Style"/>
          <w:b/>
          <w:bCs/>
          <w:sz w:val="27"/>
          <w:szCs w:val="27"/>
          <w:lang w:val="es-ES_tradnl"/>
        </w:rPr>
        <w:tab/>
        <w:t>Tercero</w:t>
      </w:r>
      <w:r w:rsidRPr="004836F6">
        <w:rPr>
          <w:rFonts w:ascii="Bookman Old Style" w:hAnsi="Bookman Old Style"/>
          <w:bCs/>
          <w:sz w:val="27"/>
          <w:szCs w:val="27"/>
          <w:lang w:val="es-ES_tradnl"/>
        </w:rPr>
        <w:t>. S</w:t>
      </w:r>
      <w:r w:rsidRPr="004836F6">
        <w:rPr>
          <w:rFonts w:ascii="Bookman Old Style" w:hAnsi="Bookman Old Style" w:cs="Arial"/>
          <w:sz w:val="27"/>
          <w:szCs w:val="27"/>
        </w:rPr>
        <w:t>i no fuere impugnada esta sentencia, remitir el expediente con destino a la Corte Constitucional, para su eventual revisión.</w:t>
      </w:r>
    </w:p>
    <w:p w:rsidR="004836F6" w:rsidRDefault="004836F6" w:rsidP="00713D78">
      <w:pPr>
        <w:spacing w:after="0" w:line="336" w:lineRule="auto"/>
        <w:jc w:val="both"/>
        <w:rPr>
          <w:rFonts w:ascii="Bookman Old Style" w:hAnsi="Bookman Old Style" w:cs="Arial"/>
          <w:sz w:val="27"/>
          <w:szCs w:val="27"/>
        </w:rPr>
      </w:pPr>
    </w:p>
    <w:p w:rsidR="004836F6" w:rsidRPr="004836F6" w:rsidRDefault="004836F6" w:rsidP="00713D78">
      <w:pPr>
        <w:spacing w:after="0" w:line="336" w:lineRule="auto"/>
        <w:jc w:val="both"/>
        <w:rPr>
          <w:rFonts w:ascii="Bookman Old Style" w:hAnsi="Bookman Old Style"/>
          <w:bCs/>
          <w:sz w:val="27"/>
          <w:szCs w:val="27"/>
          <w:lang w:val="es-ES_tradnl"/>
        </w:rPr>
      </w:pPr>
      <w:r>
        <w:rPr>
          <w:rFonts w:ascii="Bookman Old Style" w:hAnsi="Bookman Old Style" w:cs="Arial"/>
          <w:sz w:val="27"/>
          <w:szCs w:val="27"/>
        </w:rPr>
        <w:tab/>
      </w:r>
      <w:r>
        <w:rPr>
          <w:rFonts w:ascii="Bookman Old Style" w:hAnsi="Bookman Old Style" w:cs="Arial"/>
          <w:b/>
          <w:sz w:val="27"/>
          <w:szCs w:val="27"/>
        </w:rPr>
        <w:t xml:space="preserve">Cuarto. </w:t>
      </w:r>
      <w:r>
        <w:rPr>
          <w:rFonts w:ascii="Bookman Old Style" w:hAnsi="Bookman Old Style" w:cs="Arial"/>
          <w:sz w:val="27"/>
          <w:szCs w:val="27"/>
        </w:rPr>
        <w:t xml:space="preserve">Remitir copia del fallo al Fiscal General de la Nación para su conocimiento y fines propios de difusión en la entidad a su cargo. </w:t>
      </w:r>
    </w:p>
    <w:p w:rsidR="00095A6E" w:rsidRDefault="00095A6E" w:rsidP="00B6480B">
      <w:pPr>
        <w:pStyle w:val="Textoindependiente"/>
        <w:spacing w:line="240" w:lineRule="auto"/>
        <w:jc w:val="center"/>
        <w:rPr>
          <w:rFonts w:ascii="Bookman Old Style" w:hAnsi="Bookman Old Style"/>
          <w:b/>
          <w:i w:val="0"/>
          <w:sz w:val="27"/>
          <w:szCs w:val="27"/>
        </w:rPr>
      </w:pPr>
    </w:p>
    <w:p w:rsidR="00095A6E" w:rsidRDefault="00095A6E" w:rsidP="00B6480B">
      <w:pPr>
        <w:pStyle w:val="Textoindependiente"/>
        <w:spacing w:line="240" w:lineRule="auto"/>
        <w:jc w:val="center"/>
        <w:rPr>
          <w:rFonts w:ascii="Bookman Old Style" w:hAnsi="Bookman Old Style"/>
          <w:b/>
          <w:i w:val="0"/>
          <w:sz w:val="27"/>
          <w:szCs w:val="27"/>
        </w:rPr>
      </w:pPr>
    </w:p>
    <w:p w:rsidR="00DD791B" w:rsidRPr="004836F6" w:rsidRDefault="00DD791B" w:rsidP="00B6480B">
      <w:pPr>
        <w:pStyle w:val="Textoindependiente"/>
        <w:spacing w:line="240" w:lineRule="auto"/>
        <w:jc w:val="center"/>
        <w:rPr>
          <w:rFonts w:ascii="Bookman Old Style" w:hAnsi="Bookman Old Style"/>
          <w:b/>
          <w:i w:val="0"/>
          <w:sz w:val="27"/>
          <w:szCs w:val="27"/>
        </w:rPr>
      </w:pPr>
      <w:r w:rsidRPr="004836F6">
        <w:rPr>
          <w:rFonts w:ascii="Bookman Old Style" w:hAnsi="Bookman Old Style"/>
          <w:b/>
          <w:i w:val="0"/>
          <w:sz w:val="27"/>
          <w:szCs w:val="27"/>
        </w:rPr>
        <w:lastRenderedPageBreak/>
        <w:t>NOTIFÍQUESE y CÚMPLASE</w:t>
      </w:r>
    </w:p>
    <w:p w:rsidR="006C4AFB" w:rsidRPr="004836F6" w:rsidRDefault="006C4AFB" w:rsidP="00B6480B">
      <w:pPr>
        <w:spacing w:after="0" w:line="240" w:lineRule="auto"/>
        <w:jc w:val="center"/>
        <w:rPr>
          <w:rFonts w:ascii="Bookman Old Style" w:hAnsi="Bookman Old Style"/>
          <w:bCs/>
          <w:sz w:val="27"/>
          <w:szCs w:val="27"/>
        </w:rPr>
      </w:pPr>
    </w:p>
    <w:p w:rsidR="00713D78" w:rsidRPr="004836F6" w:rsidRDefault="00713D78" w:rsidP="00B6480B">
      <w:pPr>
        <w:spacing w:after="0" w:line="240" w:lineRule="auto"/>
        <w:jc w:val="center"/>
        <w:rPr>
          <w:rFonts w:ascii="Bookman Old Style" w:hAnsi="Bookman Old Style"/>
          <w:bCs/>
          <w:sz w:val="27"/>
          <w:szCs w:val="27"/>
        </w:rPr>
      </w:pPr>
    </w:p>
    <w:p w:rsidR="00B6480B" w:rsidRPr="004836F6" w:rsidRDefault="00B6480B" w:rsidP="00B6480B">
      <w:pPr>
        <w:spacing w:after="0" w:line="240" w:lineRule="auto"/>
        <w:jc w:val="center"/>
        <w:rPr>
          <w:rFonts w:ascii="Bookman Old Style" w:hAnsi="Bookman Old Style"/>
          <w:bCs/>
          <w:sz w:val="27"/>
          <w:szCs w:val="27"/>
        </w:rPr>
      </w:pPr>
    </w:p>
    <w:p w:rsidR="00713D78" w:rsidRPr="004836F6" w:rsidRDefault="00713D78" w:rsidP="00B6480B">
      <w:pPr>
        <w:spacing w:after="0" w:line="240" w:lineRule="auto"/>
        <w:jc w:val="center"/>
        <w:rPr>
          <w:rFonts w:ascii="Bookman Old Style" w:hAnsi="Bookman Old Style"/>
          <w:bCs/>
          <w:sz w:val="27"/>
          <w:szCs w:val="27"/>
        </w:rPr>
      </w:pPr>
    </w:p>
    <w:p w:rsidR="00892C59" w:rsidRPr="004836F6" w:rsidRDefault="00892C59" w:rsidP="00B6480B">
      <w:pPr>
        <w:spacing w:after="0" w:line="240" w:lineRule="auto"/>
        <w:jc w:val="center"/>
        <w:rPr>
          <w:rFonts w:ascii="Bookman Old Style" w:hAnsi="Bookman Old Style" w:cs="Arial"/>
          <w:b/>
          <w:bCs/>
          <w:iCs/>
          <w:sz w:val="28"/>
          <w:szCs w:val="28"/>
        </w:rPr>
      </w:pPr>
      <w:r w:rsidRPr="004836F6">
        <w:rPr>
          <w:rFonts w:ascii="Bookman Old Style" w:hAnsi="Bookman Old Style" w:cs="Arial"/>
          <w:b/>
          <w:bCs/>
          <w:iCs/>
          <w:sz w:val="28"/>
          <w:szCs w:val="28"/>
        </w:rPr>
        <w:t>EUGENIO FERNÁNDEZ CARLIER</w:t>
      </w:r>
    </w:p>
    <w:p w:rsidR="00892C59" w:rsidRPr="004836F6" w:rsidRDefault="00892C59" w:rsidP="00B6480B">
      <w:pPr>
        <w:spacing w:after="0" w:line="240" w:lineRule="auto"/>
        <w:jc w:val="center"/>
        <w:rPr>
          <w:rFonts w:ascii="Bookman Old Style" w:hAnsi="Bookman Old Style" w:cs="Arial"/>
          <w:b/>
          <w:sz w:val="28"/>
          <w:szCs w:val="28"/>
        </w:rPr>
      </w:pPr>
    </w:p>
    <w:p w:rsidR="00B6480B" w:rsidRPr="004836F6" w:rsidRDefault="00B6480B" w:rsidP="00B6480B">
      <w:pPr>
        <w:spacing w:after="0" w:line="240" w:lineRule="auto"/>
        <w:jc w:val="center"/>
        <w:rPr>
          <w:rFonts w:ascii="Bookman Old Style" w:hAnsi="Bookman Old Style" w:cs="Arial"/>
          <w:b/>
          <w:sz w:val="28"/>
          <w:szCs w:val="28"/>
        </w:rPr>
      </w:pPr>
    </w:p>
    <w:p w:rsidR="00F94256" w:rsidRPr="004836F6" w:rsidRDefault="00F94256" w:rsidP="00B6480B">
      <w:pPr>
        <w:spacing w:after="0" w:line="240" w:lineRule="auto"/>
        <w:jc w:val="center"/>
        <w:rPr>
          <w:rFonts w:ascii="Bookman Old Style" w:hAnsi="Bookman Old Style" w:cs="Arial"/>
          <w:b/>
          <w:sz w:val="28"/>
          <w:szCs w:val="28"/>
        </w:rPr>
      </w:pPr>
    </w:p>
    <w:p w:rsidR="00B6480B" w:rsidRPr="004836F6" w:rsidRDefault="00B6480B" w:rsidP="00B6480B">
      <w:pPr>
        <w:spacing w:after="0" w:line="240" w:lineRule="auto"/>
        <w:jc w:val="center"/>
        <w:rPr>
          <w:rFonts w:ascii="Bookman Old Style" w:hAnsi="Bookman Old Style" w:cs="Arial"/>
          <w:b/>
          <w:sz w:val="28"/>
          <w:szCs w:val="28"/>
        </w:rPr>
      </w:pPr>
    </w:p>
    <w:p w:rsidR="00892C59" w:rsidRPr="004836F6" w:rsidRDefault="00892C59" w:rsidP="00B6480B">
      <w:pPr>
        <w:spacing w:after="0" w:line="240" w:lineRule="auto"/>
        <w:jc w:val="center"/>
        <w:rPr>
          <w:rFonts w:ascii="Bookman Old Style" w:hAnsi="Bookman Old Style" w:cs="Arial"/>
          <w:b/>
          <w:sz w:val="28"/>
          <w:szCs w:val="28"/>
        </w:rPr>
      </w:pPr>
      <w:r w:rsidRPr="004836F6">
        <w:rPr>
          <w:rFonts w:ascii="Bookman Old Style" w:hAnsi="Bookman Old Style" w:cs="Arial"/>
          <w:b/>
          <w:sz w:val="28"/>
          <w:szCs w:val="28"/>
        </w:rPr>
        <w:t>JOSÉ FRANCISCO ACUÑA VIZCAYA</w:t>
      </w:r>
    </w:p>
    <w:p w:rsidR="00892C59" w:rsidRPr="004836F6" w:rsidRDefault="00892C59" w:rsidP="00B6480B">
      <w:pPr>
        <w:spacing w:after="0" w:line="240" w:lineRule="auto"/>
        <w:jc w:val="center"/>
        <w:rPr>
          <w:rFonts w:ascii="Bookman Old Style" w:hAnsi="Bookman Old Style" w:cs="Arial"/>
          <w:b/>
          <w:sz w:val="28"/>
          <w:szCs w:val="28"/>
        </w:rPr>
      </w:pPr>
    </w:p>
    <w:p w:rsidR="00892C59" w:rsidRPr="004836F6" w:rsidRDefault="00892C59" w:rsidP="00B6480B">
      <w:pPr>
        <w:spacing w:after="0" w:line="240" w:lineRule="auto"/>
        <w:jc w:val="center"/>
        <w:rPr>
          <w:rFonts w:ascii="Bookman Old Style" w:hAnsi="Bookman Old Style" w:cs="Arial"/>
          <w:b/>
          <w:sz w:val="28"/>
          <w:szCs w:val="28"/>
        </w:rPr>
      </w:pPr>
    </w:p>
    <w:p w:rsidR="00892C59" w:rsidRPr="004836F6" w:rsidRDefault="00892C59" w:rsidP="00B6480B">
      <w:pPr>
        <w:spacing w:after="0" w:line="240" w:lineRule="auto"/>
        <w:jc w:val="center"/>
        <w:rPr>
          <w:rFonts w:ascii="Bookman Old Style" w:hAnsi="Bookman Old Style" w:cs="Arial"/>
          <w:b/>
          <w:sz w:val="28"/>
          <w:szCs w:val="28"/>
        </w:rPr>
      </w:pPr>
    </w:p>
    <w:p w:rsidR="004836F6" w:rsidRDefault="004836F6" w:rsidP="00B6480B">
      <w:pPr>
        <w:spacing w:after="0" w:line="240" w:lineRule="auto"/>
        <w:jc w:val="center"/>
        <w:rPr>
          <w:rFonts w:ascii="Bookman Old Style" w:hAnsi="Bookman Old Style" w:cs="Arial"/>
          <w:b/>
          <w:sz w:val="28"/>
          <w:szCs w:val="28"/>
        </w:rPr>
      </w:pPr>
    </w:p>
    <w:p w:rsidR="00892C59" w:rsidRPr="004836F6" w:rsidRDefault="00892C59" w:rsidP="00B6480B">
      <w:pPr>
        <w:spacing w:after="0" w:line="240" w:lineRule="auto"/>
        <w:jc w:val="center"/>
        <w:rPr>
          <w:rFonts w:ascii="Bookman Old Style" w:hAnsi="Bookman Old Style" w:cs="Arial"/>
          <w:b/>
          <w:sz w:val="28"/>
          <w:szCs w:val="28"/>
        </w:rPr>
      </w:pPr>
      <w:r w:rsidRPr="004836F6">
        <w:rPr>
          <w:rFonts w:ascii="Bookman Old Style" w:hAnsi="Bookman Old Style" w:cs="Arial"/>
          <w:b/>
          <w:sz w:val="28"/>
          <w:szCs w:val="28"/>
        </w:rPr>
        <w:t>JOSÉ LUIS BARCELÓ CAMACHO</w:t>
      </w:r>
    </w:p>
    <w:p w:rsidR="00892C59" w:rsidRPr="004836F6" w:rsidRDefault="00892C59" w:rsidP="00B6480B">
      <w:pPr>
        <w:spacing w:after="0" w:line="240" w:lineRule="auto"/>
        <w:jc w:val="center"/>
        <w:rPr>
          <w:rFonts w:ascii="Bookman Old Style" w:hAnsi="Bookman Old Style" w:cs="Arial"/>
          <w:b/>
          <w:sz w:val="28"/>
          <w:szCs w:val="28"/>
        </w:rPr>
      </w:pPr>
    </w:p>
    <w:p w:rsidR="00892C59" w:rsidRPr="004836F6" w:rsidRDefault="00892C59" w:rsidP="00B6480B">
      <w:pPr>
        <w:spacing w:after="0" w:line="240" w:lineRule="auto"/>
        <w:jc w:val="center"/>
        <w:rPr>
          <w:rFonts w:ascii="Bookman Old Style" w:hAnsi="Bookman Old Style" w:cs="Arial"/>
          <w:b/>
          <w:sz w:val="28"/>
          <w:szCs w:val="28"/>
        </w:rPr>
      </w:pPr>
    </w:p>
    <w:p w:rsidR="00B6480B" w:rsidRPr="004836F6" w:rsidRDefault="00B6480B" w:rsidP="00B6480B">
      <w:pPr>
        <w:spacing w:after="0" w:line="240" w:lineRule="auto"/>
        <w:jc w:val="center"/>
        <w:rPr>
          <w:rFonts w:ascii="Bookman Old Style" w:hAnsi="Bookman Old Style" w:cs="Arial"/>
          <w:b/>
          <w:sz w:val="28"/>
          <w:szCs w:val="28"/>
        </w:rPr>
      </w:pPr>
    </w:p>
    <w:p w:rsidR="00892C59" w:rsidRPr="004836F6" w:rsidRDefault="00892C59" w:rsidP="00B6480B">
      <w:pPr>
        <w:spacing w:after="0" w:line="240" w:lineRule="auto"/>
        <w:jc w:val="center"/>
        <w:rPr>
          <w:rFonts w:ascii="Bookman Old Style" w:hAnsi="Bookman Old Style" w:cs="Arial"/>
          <w:b/>
          <w:sz w:val="28"/>
          <w:szCs w:val="28"/>
        </w:rPr>
      </w:pPr>
    </w:p>
    <w:p w:rsidR="00892C59" w:rsidRPr="004836F6" w:rsidRDefault="00892C59" w:rsidP="00B6480B">
      <w:pPr>
        <w:spacing w:after="0" w:line="240" w:lineRule="auto"/>
        <w:jc w:val="center"/>
        <w:rPr>
          <w:rFonts w:ascii="Bookman Old Style" w:hAnsi="Bookman Old Style" w:cs="Arial"/>
          <w:b/>
          <w:sz w:val="28"/>
          <w:szCs w:val="28"/>
        </w:rPr>
      </w:pPr>
      <w:r w:rsidRPr="004836F6">
        <w:rPr>
          <w:rFonts w:ascii="Bookman Old Style" w:hAnsi="Bookman Old Style" w:cs="Arial"/>
          <w:b/>
          <w:sz w:val="28"/>
          <w:szCs w:val="28"/>
        </w:rPr>
        <w:t xml:space="preserve">FERNANDO LEÓN BOLAÑOS PALACIOS </w:t>
      </w:r>
    </w:p>
    <w:p w:rsidR="00892C59" w:rsidRPr="004836F6" w:rsidRDefault="00892C59" w:rsidP="00B6480B">
      <w:pPr>
        <w:spacing w:after="0" w:line="240" w:lineRule="auto"/>
        <w:jc w:val="center"/>
        <w:rPr>
          <w:rFonts w:ascii="Bookman Old Style" w:hAnsi="Bookman Old Style" w:cs="Arial"/>
          <w:b/>
          <w:sz w:val="28"/>
          <w:szCs w:val="28"/>
        </w:rPr>
      </w:pPr>
    </w:p>
    <w:p w:rsidR="00892C59" w:rsidRPr="004836F6" w:rsidRDefault="00892C59" w:rsidP="00B6480B">
      <w:pPr>
        <w:spacing w:after="0" w:line="240" w:lineRule="auto"/>
        <w:jc w:val="center"/>
        <w:rPr>
          <w:rFonts w:ascii="Bookman Old Style" w:hAnsi="Bookman Old Style" w:cs="Arial"/>
          <w:b/>
          <w:sz w:val="28"/>
          <w:szCs w:val="28"/>
        </w:rPr>
      </w:pPr>
    </w:p>
    <w:p w:rsidR="00B6480B" w:rsidRPr="004836F6" w:rsidRDefault="00B6480B" w:rsidP="00B6480B">
      <w:pPr>
        <w:spacing w:after="0" w:line="240" w:lineRule="auto"/>
        <w:jc w:val="center"/>
        <w:rPr>
          <w:rFonts w:ascii="Bookman Old Style" w:hAnsi="Bookman Old Style" w:cs="Arial"/>
          <w:b/>
          <w:sz w:val="28"/>
          <w:szCs w:val="28"/>
        </w:rPr>
      </w:pPr>
    </w:p>
    <w:p w:rsidR="00B75436" w:rsidRPr="004836F6" w:rsidRDefault="00B75436" w:rsidP="00B6480B">
      <w:pPr>
        <w:spacing w:after="0" w:line="240" w:lineRule="auto"/>
        <w:jc w:val="center"/>
        <w:rPr>
          <w:rFonts w:ascii="Bookman Old Style" w:hAnsi="Bookman Old Style" w:cs="Arial"/>
          <w:b/>
          <w:sz w:val="28"/>
          <w:szCs w:val="28"/>
        </w:rPr>
      </w:pPr>
    </w:p>
    <w:p w:rsidR="00892C59" w:rsidRPr="004836F6" w:rsidRDefault="00892C59" w:rsidP="00B6480B">
      <w:pPr>
        <w:spacing w:after="0" w:line="240" w:lineRule="auto"/>
        <w:jc w:val="center"/>
        <w:rPr>
          <w:rFonts w:ascii="Bookman Old Style" w:hAnsi="Bookman Old Style" w:cs="Arial"/>
          <w:b/>
          <w:sz w:val="28"/>
          <w:szCs w:val="28"/>
        </w:rPr>
      </w:pPr>
      <w:r w:rsidRPr="004836F6">
        <w:rPr>
          <w:rFonts w:ascii="Bookman Old Style" w:hAnsi="Bookman Old Style" w:cs="Arial"/>
          <w:b/>
          <w:sz w:val="28"/>
          <w:szCs w:val="28"/>
        </w:rPr>
        <w:t>FERNANDO ALBERTO CASTRO CABALLERO</w:t>
      </w:r>
    </w:p>
    <w:p w:rsidR="00892C59" w:rsidRPr="004836F6" w:rsidRDefault="00892C59" w:rsidP="00B6480B">
      <w:pPr>
        <w:spacing w:after="0" w:line="240" w:lineRule="auto"/>
        <w:jc w:val="center"/>
        <w:rPr>
          <w:rFonts w:ascii="Bookman Old Style" w:hAnsi="Bookman Old Style" w:cs="Arial"/>
          <w:b/>
          <w:sz w:val="28"/>
          <w:szCs w:val="28"/>
        </w:rPr>
      </w:pPr>
    </w:p>
    <w:p w:rsidR="00892C59" w:rsidRPr="004836F6" w:rsidRDefault="00892C59" w:rsidP="00B6480B">
      <w:pPr>
        <w:spacing w:after="0" w:line="240" w:lineRule="auto"/>
        <w:jc w:val="center"/>
        <w:rPr>
          <w:rFonts w:ascii="Bookman Old Style" w:hAnsi="Bookman Old Style" w:cs="Arial"/>
          <w:b/>
          <w:sz w:val="28"/>
          <w:szCs w:val="28"/>
        </w:rPr>
      </w:pPr>
    </w:p>
    <w:p w:rsidR="00B6480B" w:rsidRPr="004836F6" w:rsidRDefault="00B6480B" w:rsidP="00B6480B">
      <w:pPr>
        <w:spacing w:after="0" w:line="240" w:lineRule="auto"/>
        <w:jc w:val="center"/>
        <w:rPr>
          <w:rFonts w:ascii="Bookman Old Style" w:hAnsi="Bookman Old Style" w:cs="Arial"/>
          <w:b/>
          <w:bCs/>
          <w:iCs/>
          <w:sz w:val="28"/>
          <w:szCs w:val="28"/>
        </w:rPr>
      </w:pPr>
    </w:p>
    <w:p w:rsidR="00B6480B" w:rsidRPr="004836F6" w:rsidRDefault="00B6480B" w:rsidP="00B6480B">
      <w:pPr>
        <w:spacing w:after="0" w:line="240" w:lineRule="auto"/>
        <w:jc w:val="center"/>
        <w:rPr>
          <w:rFonts w:ascii="Bookman Old Style" w:hAnsi="Bookman Old Style" w:cs="Arial"/>
          <w:b/>
          <w:bCs/>
          <w:iCs/>
          <w:sz w:val="28"/>
          <w:szCs w:val="28"/>
        </w:rPr>
      </w:pPr>
    </w:p>
    <w:p w:rsidR="00892C59" w:rsidRPr="004836F6" w:rsidRDefault="00892C59" w:rsidP="00B6480B">
      <w:pPr>
        <w:spacing w:after="0" w:line="240" w:lineRule="auto"/>
        <w:jc w:val="center"/>
        <w:rPr>
          <w:rFonts w:ascii="Bookman Old Style" w:hAnsi="Bookman Old Style" w:cs="Arial"/>
          <w:b/>
          <w:sz w:val="28"/>
          <w:szCs w:val="28"/>
        </w:rPr>
      </w:pPr>
      <w:r w:rsidRPr="004836F6">
        <w:rPr>
          <w:rFonts w:ascii="Bookman Old Style" w:hAnsi="Bookman Old Style" w:cs="Arial"/>
          <w:b/>
          <w:bCs/>
          <w:iCs/>
          <w:sz w:val="28"/>
          <w:szCs w:val="28"/>
        </w:rPr>
        <w:t xml:space="preserve">LUIS ANTONIO HERNÁNDEZ BARBOSA </w:t>
      </w:r>
    </w:p>
    <w:p w:rsidR="00892C59" w:rsidRPr="004836F6" w:rsidRDefault="00892C59" w:rsidP="00B6480B">
      <w:pPr>
        <w:spacing w:after="0" w:line="240" w:lineRule="auto"/>
        <w:jc w:val="center"/>
        <w:rPr>
          <w:rFonts w:ascii="Bookman Old Style" w:hAnsi="Bookman Old Style" w:cs="Arial"/>
          <w:b/>
          <w:sz w:val="28"/>
          <w:szCs w:val="28"/>
        </w:rPr>
      </w:pPr>
    </w:p>
    <w:p w:rsidR="00892C59" w:rsidRPr="004836F6" w:rsidRDefault="00892C59" w:rsidP="00B6480B">
      <w:pPr>
        <w:spacing w:after="0" w:line="240" w:lineRule="auto"/>
        <w:jc w:val="center"/>
        <w:rPr>
          <w:rFonts w:ascii="Bookman Old Style" w:hAnsi="Bookman Old Style" w:cs="Arial"/>
          <w:b/>
          <w:sz w:val="28"/>
          <w:szCs w:val="28"/>
        </w:rPr>
      </w:pPr>
    </w:p>
    <w:p w:rsidR="00892C59" w:rsidRPr="004836F6" w:rsidRDefault="00892C59" w:rsidP="00B6480B">
      <w:pPr>
        <w:spacing w:after="0" w:line="240" w:lineRule="auto"/>
        <w:jc w:val="center"/>
        <w:rPr>
          <w:rFonts w:ascii="Bookman Old Style" w:hAnsi="Bookman Old Style" w:cs="Arial"/>
          <w:b/>
          <w:sz w:val="28"/>
          <w:szCs w:val="28"/>
        </w:rPr>
      </w:pPr>
    </w:p>
    <w:p w:rsidR="00B6480B" w:rsidRPr="004836F6" w:rsidRDefault="00B6480B" w:rsidP="00B6480B">
      <w:pPr>
        <w:spacing w:after="0" w:line="240" w:lineRule="auto"/>
        <w:jc w:val="center"/>
        <w:rPr>
          <w:rFonts w:ascii="Bookman Old Style" w:hAnsi="Bookman Old Style" w:cs="Arial"/>
          <w:b/>
          <w:sz w:val="28"/>
          <w:szCs w:val="28"/>
        </w:rPr>
      </w:pPr>
    </w:p>
    <w:p w:rsidR="00892C59" w:rsidRPr="004836F6" w:rsidRDefault="00892C59" w:rsidP="00B6480B">
      <w:pPr>
        <w:spacing w:after="0" w:line="240" w:lineRule="auto"/>
        <w:jc w:val="center"/>
        <w:rPr>
          <w:rFonts w:ascii="Bookman Old Style" w:hAnsi="Bookman Old Style" w:cs="Arial"/>
          <w:b/>
          <w:sz w:val="28"/>
          <w:szCs w:val="28"/>
        </w:rPr>
      </w:pPr>
      <w:r w:rsidRPr="004836F6">
        <w:rPr>
          <w:rFonts w:ascii="Bookman Old Style" w:hAnsi="Bookman Old Style" w:cs="Arial"/>
          <w:b/>
          <w:sz w:val="28"/>
          <w:szCs w:val="28"/>
        </w:rPr>
        <w:t>EYDER PATIÑO CABRERA</w:t>
      </w:r>
    </w:p>
    <w:p w:rsidR="00892C59" w:rsidRPr="004836F6" w:rsidRDefault="00892C59" w:rsidP="00B6480B">
      <w:pPr>
        <w:spacing w:after="0" w:line="240" w:lineRule="auto"/>
        <w:jc w:val="center"/>
        <w:rPr>
          <w:rFonts w:ascii="Bookman Old Style" w:hAnsi="Bookman Old Style" w:cs="Arial"/>
          <w:b/>
          <w:sz w:val="28"/>
          <w:szCs w:val="28"/>
        </w:rPr>
      </w:pPr>
    </w:p>
    <w:p w:rsidR="00892C59" w:rsidRPr="004836F6" w:rsidRDefault="00892C59" w:rsidP="00B6480B">
      <w:pPr>
        <w:spacing w:after="0" w:line="240" w:lineRule="auto"/>
        <w:jc w:val="center"/>
        <w:rPr>
          <w:rFonts w:ascii="Bookman Old Style" w:hAnsi="Bookman Old Style" w:cs="Arial"/>
          <w:b/>
          <w:sz w:val="28"/>
          <w:szCs w:val="28"/>
        </w:rPr>
      </w:pPr>
    </w:p>
    <w:p w:rsidR="00B6480B" w:rsidRPr="004836F6" w:rsidRDefault="00B6480B" w:rsidP="00B6480B">
      <w:pPr>
        <w:spacing w:after="0" w:line="240" w:lineRule="auto"/>
        <w:jc w:val="center"/>
        <w:rPr>
          <w:rFonts w:ascii="Bookman Old Style" w:hAnsi="Bookman Old Style" w:cs="Arial"/>
          <w:b/>
          <w:sz w:val="28"/>
          <w:szCs w:val="28"/>
        </w:rPr>
      </w:pPr>
    </w:p>
    <w:p w:rsidR="00892C59" w:rsidRPr="004836F6" w:rsidRDefault="00892C59" w:rsidP="00B6480B">
      <w:pPr>
        <w:spacing w:after="0" w:line="240" w:lineRule="auto"/>
        <w:jc w:val="center"/>
        <w:rPr>
          <w:rFonts w:ascii="Bookman Old Style" w:hAnsi="Bookman Old Style" w:cs="Arial"/>
          <w:b/>
          <w:sz w:val="28"/>
          <w:szCs w:val="28"/>
        </w:rPr>
      </w:pPr>
    </w:p>
    <w:p w:rsidR="00892C59" w:rsidRPr="004836F6" w:rsidRDefault="00892C59" w:rsidP="00B6480B">
      <w:pPr>
        <w:spacing w:after="0" w:line="240" w:lineRule="auto"/>
        <w:jc w:val="center"/>
        <w:rPr>
          <w:rFonts w:ascii="Bookman Old Style" w:hAnsi="Bookman Old Style" w:cs="Arial"/>
          <w:b/>
          <w:sz w:val="28"/>
          <w:szCs w:val="28"/>
        </w:rPr>
      </w:pPr>
      <w:r w:rsidRPr="004836F6">
        <w:rPr>
          <w:rFonts w:ascii="Bookman Old Style" w:hAnsi="Bookman Old Style" w:cs="Arial"/>
          <w:b/>
          <w:sz w:val="28"/>
          <w:szCs w:val="28"/>
        </w:rPr>
        <w:t>PATRICIA SALAZAR CUÉLLAR</w:t>
      </w:r>
    </w:p>
    <w:p w:rsidR="00892C59" w:rsidRPr="004836F6" w:rsidRDefault="00892C59" w:rsidP="00B6480B">
      <w:pPr>
        <w:spacing w:after="0" w:line="240" w:lineRule="auto"/>
        <w:jc w:val="center"/>
        <w:rPr>
          <w:rFonts w:ascii="Bookman Old Style" w:hAnsi="Bookman Old Style" w:cs="Arial"/>
          <w:b/>
          <w:sz w:val="28"/>
          <w:szCs w:val="28"/>
        </w:rPr>
      </w:pPr>
    </w:p>
    <w:p w:rsidR="00892C59" w:rsidRPr="004836F6" w:rsidRDefault="00892C59" w:rsidP="00B6480B">
      <w:pPr>
        <w:spacing w:after="0" w:line="240" w:lineRule="auto"/>
        <w:jc w:val="center"/>
        <w:rPr>
          <w:rFonts w:ascii="Bookman Old Style" w:hAnsi="Bookman Old Style" w:cs="Arial"/>
          <w:b/>
          <w:sz w:val="28"/>
          <w:szCs w:val="28"/>
        </w:rPr>
      </w:pPr>
    </w:p>
    <w:p w:rsidR="00B6480B" w:rsidRPr="004836F6" w:rsidRDefault="00B6480B" w:rsidP="00B6480B">
      <w:pPr>
        <w:spacing w:after="0" w:line="240" w:lineRule="auto"/>
        <w:jc w:val="center"/>
        <w:rPr>
          <w:rFonts w:ascii="Bookman Old Style" w:hAnsi="Bookman Old Style" w:cs="Arial"/>
          <w:b/>
          <w:sz w:val="28"/>
          <w:szCs w:val="28"/>
        </w:rPr>
      </w:pPr>
    </w:p>
    <w:p w:rsidR="00892C59" w:rsidRPr="004836F6" w:rsidRDefault="00892C59" w:rsidP="00B6480B">
      <w:pPr>
        <w:spacing w:after="0" w:line="240" w:lineRule="auto"/>
        <w:jc w:val="center"/>
        <w:rPr>
          <w:rFonts w:ascii="Bookman Old Style" w:hAnsi="Bookman Old Style" w:cs="Arial"/>
          <w:b/>
          <w:bCs/>
          <w:iCs/>
          <w:sz w:val="28"/>
          <w:szCs w:val="28"/>
        </w:rPr>
      </w:pPr>
      <w:r w:rsidRPr="004836F6">
        <w:rPr>
          <w:rFonts w:ascii="Bookman Old Style" w:hAnsi="Bookman Old Style" w:cs="Arial"/>
          <w:b/>
          <w:sz w:val="28"/>
          <w:szCs w:val="28"/>
        </w:rPr>
        <w:t>LUIS GUILLERMO SALAZAR OTERO</w:t>
      </w:r>
    </w:p>
    <w:p w:rsidR="00892C59" w:rsidRPr="004836F6" w:rsidRDefault="00892C59" w:rsidP="00B6480B">
      <w:pPr>
        <w:pStyle w:val="Textoindependiente"/>
        <w:spacing w:line="240" w:lineRule="auto"/>
        <w:jc w:val="center"/>
        <w:rPr>
          <w:rFonts w:ascii="Bookman Old Style" w:hAnsi="Bookman Old Style" w:cs="Arial"/>
          <w:sz w:val="28"/>
          <w:szCs w:val="28"/>
        </w:rPr>
      </w:pPr>
    </w:p>
    <w:p w:rsidR="00892C59" w:rsidRPr="004836F6" w:rsidRDefault="00892C59" w:rsidP="00B6480B">
      <w:pPr>
        <w:pStyle w:val="Textoindependiente"/>
        <w:spacing w:line="240" w:lineRule="auto"/>
        <w:jc w:val="center"/>
        <w:rPr>
          <w:rFonts w:ascii="Bookman Old Style" w:hAnsi="Bookman Old Style" w:cs="Arial"/>
          <w:sz w:val="28"/>
          <w:szCs w:val="28"/>
        </w:rPr>
      </w:pPr>
    </w:p>
    <w:p w:rsidR="00892C59" w:rsidRPr="004836F6" w:rsidRDefault="00892C59" w:rsidP="00B6480B">
      <w:pPr>
        <w:pStyle w:val="Textoindependiente"/>
        <w:spacing w:line="240" w:lineRule="auto"/>
        <w:jc w:val="center"/>
        <w:rPr>
          <w:rFonts w:ascii="Bookman Old Style" w:hAnsi="Bookman Old Style" w:cs="Arial"/>
          <w:sz w:val="28"/>
          <w:szCs w:val="28"/>
        </w:rPr>
      </w:pPr>
    </w:p>
    <w:p w:rsidR="00B6480B" w:rsidRPr="004836F6" w:rsidRDefault="00B6480B" w:rsidP="00B6480B">
      <w:pPr>
        <w:pStyle w:val="Textoindependiente"/>
        <w:spacing w:line="240" w:lineRule="auto"/>
        <w:jc w:val="center"/>
        <w:rPr>
          <w:rFonts w:ascii="Bookman Old Style" w:hAnsi="Bookman Old Style" w:cs="Arial"/>
          <w:sz w:val="28"/>
          <w:szCs w:val="28"/>
        </w:rPr>
      </w:pPr>
    </w:p>
    <w:p w:rsidR="00892C59" w:rsidRPr="004836F6" w:rsidRDefault="00892C59" w:rsidP="00B6480B">
      <w:pPr>
        <w:pStyle w:val="Textoindependiente"/>
        <w:spacing w:line="240" w:lineRule="auto"/>
        <w:jc w:val="center"/>
        <w:rPr>
          <w:rFonts w:ascii="Bookman Old Style" w:hAnsi="Bookman Old Style" w:cs="Arial"/>
          <w:i w:val="0"/>
          <w:sz w:val="28"/>
          <w:szCs w:val="28"/>
        </w:rPr>
      </w:pPr>
      <w:r w:rsidRPr="004836F6">
        <w:rPr>
          <w:rFonts w:ascii="Bookman Old Style" w:hAnsi="Bookman Old Style" w:cs="Arial"/>
          <w:i w:val="0"/>
          <w:sz w:val="28"/>
          <w:szCs w:val="28"/>
        </w:rPr>
        <w:t>NUBIA YOLANDA NOVA GARCÍA</w:t>
      </w:r>
    </w:p>
    <w:p w:rsidR="00892C59" w:rsidRPr="004836F6" w:rsidRDefault="00892C59" w:rsidP="00B6480B">
      <w:pPr>
        <w:spacing w:after="0" w:line="240" w:lineRule="auto"/>
        <w:jc w:val="center"/>
        <w:rPr>
          <w:rFonts w:ascii="Bookman Old Style" w:hAnsi="Bookman Old Style" w:cs="Arial"/>
          <w:sz w:val="28"/>
          <w:szCs w:val="28"/>
        </w:rPr>
      </w:pPr>
      <w:r w:rsidRPr="004836F6">
        <w:rPr>
          <w:rFonts w:ascii="Bookman Old Style" w:hAnsi="Bookman Old Style" w:cs="Arial"/>
          <w:sz w:val="28"/>
          <w:szCs w:val="28"/>
        </w:rPr>
        <w:t>Secretaria</w:t>
      </w:r>
    </w:p>
    <w:p w:rsidR="00F94256" w:rsidRPr="004836F6" w:rsidRDefault="00F94256" w:rsidP="00B6480B">
      <w:pPr>
        <w:spacing w:after="0" w:line="240" w:lineRule="auto"/>
        <w:jc w:val="center"/>
        <w:rPr>
          <w:rFonts w:ascii="Bookman Old Style" w:hAnsi="Bookman Old Style" w:cs="Arial"/>
          <w:sz w:val="28"/>
          <w:szCs w:val="28"/>
        </w:rPr>
      </w:pPr>
    </w:p>
    <w:p w:rsidR="00F94256" w:rsidRPr="004836F6" w:rsidRDefault="00F94256" w:rsidP="00B6480B">
      <w:pPr>
        <w:spacing w:after="0" w:line="240" w:lineRule="auto"/>
        <w:jc w:val="center"/>
        <w:rPr>
          <w:rFonts w:ascii="Bookman Old Style" w:hAnsi="Bookman Old Style" w:cs="Arial"/>
          <w:sz w:val="28"/>
          <w:szCs w:val="28"/>
        </w:rPr>
      </w:pPr>
    </w:p>
    <w:p w:rsidR="00F94256" w:rsidRPr="004836F6" w:rsidRDefault="00F94256" w:rsidP="00B6480B">
      <w:pPr>
        <w:spacing w:after="0" w:line="240" w:lineRule="auto"/>
        <w:jc w:val="center"/>
        <w:rPr>
          <w:rFonts w:ascii="Bookman Old Style" w:hAnsi="Bookman Old Style" w:cs="Arial"/>
          <w:sz w:val="28"/>
          <w:szCs w:val="28"/>
        </w:rPr>
      </w:pPr>
    </w:p>
    <w:p w:rsidR="00F94256" w:rsidRPr="004836F6" w:rsidRDefault="00F94256" w:rsidP="00B6480B">
      <w:pPr>
        <w:spacing w:after="0" w:line="240" w:lineRule="auto"/>
        <w:jc w:val="center"/>
        <w:rPr>
          <w:rFonts w:ascii="Bookman Old Style" w:hAnsi="Bookman Old Style" w:cs="Arial"/>
          <w:sz w:val="28"/>
          <w:szCs w:val="28"/>
        </w:rPr>
      </w:pPr>
    </w:p>
    <w:p w:rsidR="00F94256" w:rsidRPr="004836F6" w:rsidRDefault="00F94256" w:rsidP="00B6480B">
      <w:pPr>
        <w:spacing w:after="0" w:line="240" w:lineRule="auto"/>
        <w:jc w:val="center"/>
        <w:rPr>
          <w:rFonts w:ascii="Bookman Old Style" w:hAnsi="Bookman Old Style" w:cs="Arial"/>
          <w:sz w:val="28"/>
          <w:szCs w:val="28"/>
        </w:rPr>
      </w:pPr>
    </w:p>
    <w:p w:rsidR="00F94256" w:rsidRDefault="00F94256"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Default="00095A6E" w:rsidP="00B6480B">
      <w:pPr>
        <w:spacing w:after="0" w:line="240" w:lineRule="auto"/>
        <w:jc w:val="center"/>
        <w:rPr>
          <w:rFonts w:ascii="Bookman Old Style" w:hAnsi="Bookman Old Style" w:cs="Arial"/>
          <w:sz w:val="28"/>
          <w:szCs w:val="28"/>
        </w:rPr>
      </w:pPr>
    </w:p>
    <w:p w:rsidR="00095A6E" w:rsidRPr="004836F6" w:rsidRDefault="00095A6E" w:rsidP="00B6480B">
      <w:pPr>
        <w:spacing w:after="0" w:line="240" w:lineRule="auto"/>
        <w:jc w:val="center"/>
        <w:rPr>
          <w:rFonts w:ascii="Bookman Old Style" w:hAnsi="Bookman Old Style" w:cs="Arial"/>
          <w:sz w:val="28"/>
          <w:szCs w:val="28"/>
        </w:rPr>
      </w:pPr>
    </w:p>
    <w:p w:rsidR="00CB7766" w:rsidRPr="004836F6" w:rsidRDefault="00CB7766">
      <w:pPr>
        <w:spacing w:after="0" w:line="336" w:lineRule="auto"/>
        <w:rPr>
          <w:rFonts w:ascii="Bookman Old Style" w:hAnsi="Bookman Old Style"/>
          <w:sz w:val="27"/>
          <w:szCs w:val="27"/>
        </w:rPr>
      </w:pPr>
      <w:bookmarkStart w:id="0" w:name="_GoBack"/>
      <w:bookmarkEnd w:id="0"/>
    </w:p>
    <w:sectPr w:rsidR="00CB7766" w:rsidRPr="004836F6" w:rsidSect="00FA5E7C">
      <w:headerReference w:type="default" r:id="rId8"/>
      <w:footerReference w:type="default" r:id="rId9"/>
      <w:headerReference w:type="first" r:id="rId10"/>
      <w:pgSz w:w="12242" w:h="18722" w:code="121"/>
      <w:pgMar w:top="2268" w:right="1701" w:bottom="1701" w:left="2268" w:header="720" w:footer="1435"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1DAC" w:rsidRDefault="00F71DAC" w:rsidP="00DD791B">
      <w:pPr>
        <w:spacing w:after="0" w:line="240" w:lineRule="auto"/>
      </w:pPr>
      <w:r>
        <w:separator/>
      </w:r>
    </w:p>
  </w:endnote>
  <w:endnote w:type="continuationSeparator" w:id="0">
    <w:p w:rsidR="00F71DAC" w:rsidRDefault="00F71DAC" w:rsidP="00DD7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WarnockPro-Regular">
    <w:altName w:val="MS Mincho"/>
    <w:panose1 w:val="00000000000000000000"/>
    <w:charset w:val="80"/>
    <w:family w:val="roman"/>
    <w:notTrueType/>
    <w:pitch w:val="default"/>
    <w:sig w:usb0="00000001" w:usb1="08070000" w:usb2="00000010" w:usb3="00000000" w:csb0="00020000" w:csb1="00000000"/>
  </w:font>
  <w:font w:name="Franklin Gothic Book">
    <w:panose1 w:val="020B0503020102020204"/>
    <w:charset w:val="00"/>
    <w:family w:val="swiss"/>
    <w:pitch w:val="variable"/>
    <w:sig w:usb0="00000287" w:usb1="00000000" w:usb2="00000000" w:usb3="00000000" w:csb0="0000009F" w:csb1="00000000"/>
  </w:font>
  <w:font w:name="Kunstler Script">
    <w:panose1 w:val="030304020206070D0D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03BF" w:rsidRDefault="003603BF" w:rsidP="0088214D">
    <w:pPr>
      <w:pStyle w:val="Piedepgina"/>
      <w:jc w:val="center"/>
      <w:rPr>
        <w:rStyle w:val="Nmerodepgina"/>
        <w:rFonts w:ascii="Times New Roman" w:hAnsi="Times New Roman"/>
      </w:rPr>
    </w:pPr>
  </w:p>
  <w:p w:rsidR="003603BF" w:rsidRPr="00203081" w:rsidRDefault="003603BF" w:rsidP="0088214D">
    <w:pPr>
      <w:pStyle w:val="Piedepgina"/>
      <w:jc w:val="center"/>
      <w:rPr>
        <w:rFonts w:ascii="Times New Roman" w:hAnsi="Times New Roman"/>
      </w:rPr>
    </w:pPr>
    <w:r w:rsidRPr="00203081">
      <w:rPr>
        <w:rStyle w:val="Nmerodepgina"/>
        <w:rFonts w:ascii="Times New Roman" w:hAnsi="Times New Roman"/>
      </w:rPr>
      <w:fldChar w:fldCharType="begin"/>
    </w:r>
    <w:r w:rsidRPr="00203081">
      <w:rPr>
        <w:rStyle w:val="Nmerodepgina"/>
        <w:rFonts w:ascii="Times New Roman" w:hAnsi="Times New Roman"/>
      </w:rPr>
      <w:instrText xml:space="preserve"> PAGE </w:instrText>
    </w:r>
    <w:r w:rsidRPr="00203081">
      <w:rPr>
        <w:rStyle w:val="Nmerodepgina"/>
        <w:rFonts w:ascii="Times New Roman" w:hAnsi="Times New Roman"/>
      </w:rPr>
      <w:fldChar w:fldCharType="separate"/>
    </w:r>
    <w:r w:rsidR="00FA56C6">
      <w:rPr>
        <w:rStyle w:val="Nmerodepgina"/>
        <w:rFonts w:ascii="Times New Roman" w:hAnsi="Times New Roman"/>
        <w:noProof/>
      </w:rPr>
      <w:t>40</w:t>
    </w:r>
    <w:r w:rsidRPr="00203081">
      <w:rPr>
        <w:rStyle w:val="Nmerodepgina"/>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1DAC" w:rsidRDefault="00F71DAC" w:rsidP="00DD791B">
      <w:pPr>
        <w:spacing w:after="0" w:line="240" w:lineRule="auto"/>
      </w:pPr>
      <w:r>
        <w:separator/>
      </w:r>
    </w:p>
  </w:footnote>
  <w:footnote w:type="continuationSeparator" w:id="0">
    <w:p w:rsidR="00F71DAC" w:rsidRDefault="00F71DAC" w:rsidP="00DD791B">
      <w:pPr>
        <w:spacing w:after="0" w:line="240" w:lineRule="auto"/>
      </w:pPr>
      <w:r>
        <w:continuationSeparator/>
      </w:r>
    </w:p>
  </w:footnote>
  <w:footnote w:id="1">
    <w:p w:rsidR="003603BF" w:rsidRPr="004F4A25" w:rsidRDefault="003603BF" w:rsidP="007C00E1">
      <w:pPr>
        <w:pStyle w:val="Textonotapie"/>
        <w:jc w:val="both"/>
        <w:rPr>
          <w:rFonts w:ascii="Times New Roman" w:hAnsi="Times New Roman"/>
          <w:sz w:val="22"/>
          <w:szCs w:val="22"/>
        </w:rPr>
      </w:pPr>
      <w:r>
        <w:rPr>
          <w:rFonts w:ascii="Times New Roman" w:hAnsi="Times New Roman"/>
          <w:sz w:val="22"/>
          <w:szCs w:val="22"/>
        </w:rPr>
        <w:tab/>
      </w:r>
      <w:r w:rsidRPr="004F4A25">
        <w:rPr>
          <w:rStyle w:val="Refdenotaalpie"/>
          <w:rFonts w:ascii="Times New Roman" w:hAnsi="Times New Roman"/>
          <w:sz w:val="22"/>
          <w:szCs w:val="22"/>
        </w:rPr>
        <w:footnoteRef/>
      </w:r>
      <w:r w:rsidRPr="004F4A25">
        <w:rPr>
          <w:rFonts w:ascii="Times New Roman" w:hAnsi="Times New Roman"/>
          <w:sz w:val="22"/>
          <w:szCs w:val="22"/>
        </w:rPr>
        <w:t xml:space="preserve"> C. Const., </w:t>
      </w:r>
      <w:proofErr w:type="spellStart"/>
      <w:r w:rsidRPr="004F4A25">
        <w:rPr>
          <w:rFonts w:ascii="Times New Roman" w:hAnsi="Times New Roman"/>
          <w:sz w:val="22"/>
          <w:szCs w:val="22"/>
        </w:rPr>
        <w:t>sent</w:t>
      </w:r>
      <w:proofErr w:type="spellEnd"/>
      <w:r w:rsidRPr="004F4A25">
        <w:rPr>
          <w:rFonts w:ascii="Times New Roman" w:hAnsi="Times New Roman"/>
          <w:sz w:val="22"/>
          <w:szCs w:val="22"/>
        </w:rPr>
        <w:t xml:space="preserve">. C-590/05. En esta sentencia, </w:t>
      </w:r>
      <w:smartTag w:uri="urn:schemas-microsoft-com:office:smarttags" w:element="PersonName">
        <w:smartTagPr>
          <w:attr w:name="ProductID" w:val="la Corte"/>
        </w:smartTagPr>
        <w:r w:rsidRPr="004F4A25">
          <w:rPr>
            <w:rFonts w:ascii="Times New Roman" w:hAnsi="Times New Roman"/>
            <w:sz w:val="22"/>
            <w:szCs w:val="22"/>
          </w:rPr>
          <w:t>la Corte</w:t>
        </w:r>
      </w:smartTag>
      <w:r w:rsidRPr="004F4A25">
        <w:rPr>
          <w:rFonts w:ascii="Times New Roman" w:hAnsi="Times New Roman"/>
          <w:sz w:val="22"/>
          <w:szCs w:val="22"/>
        </w:rPr>
        <w:t xml:space="preserve"> declaró inexequible la expresión  “</w:t>
      </w:r>
      <w:r w:rsidRPr="004F4A25">
        <w:rPr>
          <w:rFonts w:ascii="Times New Roman" w:hAnsi="Times New Roman"/>
          <w:i/>
          <w:iCs/>
          <w:sz w:val="22"/>
          <w:szCs w:val="22"/>
        </w:rPr>
        <w:t>ni acción</w:t>
      </w:r>
      <w:r w:rsidRPr="004F4A25">
        <w:rPr>
          <w:rFonts w:ascii="Times New Roman" w:hAnsi="Times New Roman"/>
          <w:sz w:val="22"/>
          <w:szCs w:val="22"/>
        </w:rPr>
        <w:t xml:space="preserve">”, que hace parte del artículo 185 de </w:t>
      </w:r>
      <w:smartTag w:uri="urn:schemas-microsoft-com:office:smarttags" w:element="PersonName">
        <w:smartTagPr>
          <w:attr w:name="ProductID" w:val="la Ley"/>
        </w:smartTagPr>
        <w:r w:rsidRPr="004F4A25">
          <w:rPr>
            <w:rFonts w:ascii="Times New Roman" w:hAnsi="Times New Roman"/>
            <w:sz w:val="22"/>
            <w:szCs w:val="22"/>
          </w:rPr>
          <w:t>la Ley</w:t>
        </w:r>
      </w:smartTag>
      <w:r w:rsidRPr="004F4A25">
        <w:rPr>
          <w:rFonts w:ascii="Times New Roman" w:hAnsi="Times New Roman"/>
          <w:sz w:val="22"/>
          <w:szCs w:val="22"/>
        </w:rPr>
        <w:t xml:space="preserve"> 906 de 2004.</w:t>
      </w:r>
    </w:p>
  </w:footnote>
  <w:footnote w:id="2">
    <w:p w:rsidR="003603BF" w:rsidRPr="008B01C2" w:rsidRDefault="003603BF" w:rsidP="006E7E41">
      <w:pPr>
        <w:pStyle w:val="Textonotapie"/>
        <w:jc w:val="both"/>
        <w:rPr>
          <w:rFonts w:ascii="Bookman Old Style" w:hAnsi="Bookman Old Style"/>
        </w:rPr>
      </w:pPr>
      <w:r w:rsidRPr="008B01C2">
        <w:rPr>
          <w:rStyle w:val="Refdenotaalpie"/>
          <w:rFonts w:ascii="Bookman Old Style" w:hAnsi="Bookman Old Style"/>
        </w:rPr>
        <w:footnoteRef/>
      </w:r>
      <w:r w:rsidRPr="008B01C2">
        <w:rPr>
          <w:rFonts w:ascii="Bookman Old Style" w:hAnsi="Bookman Old Style"/>
        </w:rPr>
        <w:t xml:space="preserve"> “</w:t>
      </w:r>
      <w:r w:rsidRPr="008B01C2">
        <w:rPr>
          <w:rFonts w:ascii="Bookman Old Style" w:hAnsi="Bookman Old Style"/>
          <w:i/>
          <w:iCs/>
          <w:lang w:eastAsia="es-CO"/>
        </w:rPr>
        <w:t>que se presenta cuando el funcionario judicial que profirió la providencia impugnada, carece, absolutamente, de competencia para ello”.</w:t>
      </w:r>
    </w:p>
  </w:footnote>
  <w:footnote w:id="3">
    <w:p w:rsidR="003603BF" w:rsidRPr="008B01C2" w:rsidRDefault="003603BF" w:rsidP="006E7E41">
      <w:pPr>
        <w:pStyle w:val="Textonotapie"/>
        <w:jc w:val="both"/>
        <w:rPr>
          <w:rFonts w:ascii="Bookman Old Style" w:hAnsi="Bookman Old Style"/>
        </w:rPr>
      </w:pPr>
      <w:r w:rsidRPr="008B01C2">
        <w:rPr>
          <w:rStyle w:val="Refdenotaalpie"/>
          <w:rFonts w:ascii="Bookman Old Style" w:hAnsi="Bookman Old Style"/>
        </w:rPr>
        <w:footnoteRef/>
      </w:r>
      <w:r w:rsidRPr="008B01C2">
        <w:rPr>
          <w:rFonts w:ascii="Bookman Old Style" w:hAnsi="Bookman Old Style"/>
        </w:rPr>
        <w:t xml:space="preserve"> “</w:t>
      </w:r>
      <w:r w:rsidRPr="008B01C2">
        <w:rPr>
          <w:rFonts w:ascii="Bookman Old Style" w:hAnsi="Bookman Old Style"/>
          <w:i/>
          <w:iCs/>
          <w:lang w:eastAsia="es-CO"/>
        </w:rPr>
        <w:t>cuando el juez actuó completamente al margen del procedimiento establecido”.</w:t>
      </w:r>
    </w:p>
  </w:footnote>
  <w:footnote w:id="4">
    <w:p w:rsidR="003603BF" w:rsidRPr="008B01C2" w:rsidRDefault="003603BF" w:rsidP="006E7E41">
      <w:pPr>
        <w:pStyle w:val="Textonotapie"/>
        <w:jc w:val="both"/>
        <w:rPr>
          <w:rFonts w:ascii="Bookman Old Style" w:hAnsi="Bookman Old Style"/>
        </w:rPr>
      </w:pPr>
      <w:r w:rsidRPr="008B01C2">
        <w:rPr>
          <w:rStyle w:val="Refdenotaalpie"/>
          <w:rFonts w:ascii="Bookman Old Style" w:hAnsi="Bookman Old Style"/>
        </w:rPr>
        <w:footnoteRef/>
      </w:r>
      <w:r w:rsidRPr="008B01C2">
        <w:rPr>
          <w:rFonts w:ascii="Bookman Old Style" w:hAnsi="Bookman Old Style"/>
        </w:rPr>
        <w:t xml:space="preserve"> “</w:t>
      </w:r>
      <w:r w:rsidRPr="008B01C2">
        <w:rPr>
          <w:rFonts w:ascii="Bookman Old Style" w:hAnsi="Bookman Old Style"/>
          <w:i/>
          <w:iCs/>
          <w:lang w:eastAsia="es-CO"/>
        </w:rPr>
        <w:t>cuando el juez carece del apoyo probatorio que permita la aplicación del supuesto legal en el que se sustenta la decisión”.</w:t>
      </w:r>
    </w:p>
  </w:footnote>
  <w:footnote w:id="5">
    <w:p w:rsidR="003603BF" w:rsidRPr="008B01C2" w:rsidRDefault="003603BF" w:rsidP="000940E8">
      <w:pPr>
        <w:pStyle w:val="Textonotapie"/>
        <w:ind w:firstLine="709"/>
        <w:jc w:val="both"/>
        <w:rPr>
          <w:rFonts w:ascii="Bookman Old Style" w:hAnsi="Bookman Old Style"/>
        </w:rPr>
      </w:pPr>
      <w:r w:rsidRPr="008B01C2">
        <w:rPr>
          <w:rStyle w:val="Refdenotaalpie"/>
          <w:rFonts w:ascii="Bookman Old Style" w:hAnsi="Bookman Old Style"/>
        </w:rPr>
        <w:footnoteRef/>
      </w:r>
      <w:r w:rsidRPr="008B01C2">
        <w:rPr>
          <w:rFonts w:ascii="Bookman Old Style" w:hAnsi="Bookman Old Style"/>
        </w:rPr>
        <w:t xml:space="preserve"> “</w:t>
      </w:r>
      <w:r w:rsidRPr="008B01C2">
        <w:rPr>
          <w:rFonts w:ascii="Bookman Old Style" w:hAnsi="Bookman Old Style"/>
          <w:i/>
          <w:iCs/>
          <w:lang w:eastAsia="es-CO"/>
        </w:rPr>
        <w:t>se decide con base en normas inexistentes o inconstitucionales o que presentan una evidente y grosera contradicción entre los fundamentos y la decisión”.</w:t>
      </w:r>
    </w:p>
  </w:footnote>
  <w:footnote w:id="6">
    <w:p w:rsidR="003603BF" w:rsidRPr="008B01C2" w:rsidRDefault="003603BF" w:rsidP="000940E8">
      <w:pPr>
        <w:pStyle w:val="Textonotapie"/>
        <w:ind w:firstLine="709"/>
        <w:jc w:val="both"/>
        <w:rPr>
          <w:rFonts w:ascii="Bookman Old Style" w:hAnsi="Bookman Old Style"/>
        </w:rPr>
      </w:pPr>
      <w:r w:rsidRPr="008B01C2">
        <w:rPr>
          <w:rStyle w:val="Refdenotaalpie"/>
          <w:rFonts w:ascii="Bookman Old Style" w:hAnsi="Bookman Old Style"/>
        </w:rPr>
        <w:footnoteRef/>
      </w:r>
      <w:r w:rsidRPr="008B01C2">
        <w:rPr>
          <w:rFonts w:ascii="Bookman Old Style" w:hAnsi="Bookman Old Style"/>
        </w:rPr>
        <w:t xml:space="preserve"> “</w:t>
      </w:r>
      <w:r w:rsidRPr="008B01C2">
        <w:rPr>
          <w:rFonts w:ascii="Bookman Old Style" w:hAnsi="Bookman Old Style"/>
          <w:i/>
          <w:iCs/>
          <w:lang w:eastAsia="es-CO"/>
        </w:rPr>
        <w:t>cuando el juez o tribunal fue víctima de un engaño por parte de terceros y ese engaño lo condujo a la toma de una decisión que afecta derechos fundamentales”.</w:t>
      </w:r>
    </w:p>
  </w:footnote>
  <w:footnote w:id="7">
    <w:p w:rsidR="003603BF" w:rsidRPr="008B01C2" w:rsidRDefault="003603BF" w:rsidP="000940E8">
      <w:pPr>
        <w:pStyle w:val="Textonotapie"/>
        <w:ind w:firstLine="709"/>
        <w:jc w:val="both"/>
        <w:rPr>
          <w:rFonts w:ascii="Bookman Old Style" w:hAnsi="Bookman Old Style"/>
        </w:rPr>
      </w:pPr>
      <w:r w:rsidRPr="008B01C2">
        <w:rPr>
          <w:rStyle w:val="Refdenotaalpie"/>
          <w:rFonts w:ascii="Bookman Old Style" w:hAnsi="Bookman Old Style"/>
        </w:rPr>
        <w:footnoteRef/>
      </w:r>
      <w:r w:rsidRPr="008B01C2">
        <w:rPr>
          <w:rFonts w:ascii="Bookman Old Style" w:hAnsi="Bookman Old Style"/>
        </w:rPr>
        <w:t xml:space="preserve"> “</w:t>
      </w:r>
      <w:r w:rsidRPr="008B01C2">
        <w:rPr>
          <w:rFonts w:ascii="Bookman Old Style" w:hAnsi="Bookman Old Style"/>
          <w:i/>
          <w:iCs/>
          <w:lang w:eastAsia="es-CO"/>
        </w:rPr>
        <w:t>que implica el incumplimiento de los servidores judiciales de dar cuenta de los fundamentos fácticos y jurídicos de sus decisiones en el entendido que precisamente en esa motivación reposa la legitimidad de su órbita funcional”.</w:t>
      </w:r>
    </w:p>
  </w:footnote>
  <w:footnote w:id="8">
    <w:p w:rsidR="003603BF" w:rsidRPr="008B01C2" w:rsidRDefault="003603BF" w:rsidP="000940E8">
      <w:pPr>
        <w:pStyle w:val="Textonotapie"/>
        <w:ind w:firstLine="709"/>
        <w:jc w:val="both"/>
        <w:rPr>
          <w:rFonts w:ascii="Bookman Old Style" w:hAnsi="Bookman Old Style"/>
        </w:rPr>
      </w:pPr>
      <w:r w:rsidRPr="008B01C2">
        <w:rPr>
          <w:rStyle w:val="Refdenotaalpie"/>
          <w:rFonts w:ascii="Bookman Old Style" w:hAnsi="Bookman Old Style"/>
        </w:rPr>
        <w:footnoteRef/>
      </w:r>
      <w:r w:rsidRPr="008B01C2">
        <w:rPr>
          <w:rFonts w:ascii="Bookman Old Style" w:hAnsi="Bookman Old Style"/>
        </w:rPr>
        <w:t xml:space="preserve"> </w:t>
      </w:r>
      <w:r w:rsidRPr="008B01C2">
        <w:rPr>
          <w:rFonts w:ascii="Bookman Old Style" w:hAnsi="Bookman Old Style"/>
          <w:i/>
          <w:iCs/>
          <w:lang w:eastAsia="es-CO"/>
        </w:rPr>
        <w:t>“cuando la Corte Constitucional establece el alcance de un derecho fundamental y el juez ordinario aplica una ley limitando sustancialmente dicho alcance”.</w:t>
      </w:r>
    </w:p>
  </w:footnote>
  <w:footnote w:id="9">
    <w:p w:rsidR="003603BF" w:rsidRPr="00480453" w:rsidRDefault="003603BF" w:rsidP="00480453">
      <w:pPr>
        <w:spacing w:after="0" w:line="240" w:lineRule="auto"/>
        <w:jc w:val="both"/>
        <w:rPr>
          <w:rFonts w:ascii="Times New Roman" w:hAnsi="Times New Roman"/>
          <w:sz w:val="20"/>
          <w:szCs w:val="20"/>
        </w:rPr>
      </w:pPr>
      <w:r w:rsidRPr="00480453">
        <w:rPr>
          <w:rFonts w:ascii="Times New Roman" w:hAnsi="Times New Roman"/>
          <w:sz w:val="20"/>
          <w:szCs w:val="20"/>
        </w:rPr>
        <w:tab/>
      </w:r>
      <w:r w:rsidRPr="00480453">
        <w:rPr>
          <w:rStyle w:val="Refdenotaalpie"/>
          <w:rFonts w:ascii="Times New Roman" w:hAnsi="Times New Roman"/>
          <w:sz w:val="20"/>
          <w:szCs w:val="20"/>
        </w:rPr>
        <w:footnoteRef/>
      </w:r>
      <w:r w:rsidRPr="00480453">
        <w:rPr>
          <w:rFonts w:ascii="Times New Roman" w:hAnsi="Times New Roman"/>
          <w:sz w:val="20"/>
          <w:szCs w:val="20"/>
        </w:rPr>
        <w:t xml:space="preserve"> Art. 624 C.G.P.: Modifíquese el artículo </w:t>
      </w:r>
      <w:hyperlink r:id="rId1" w:anchor="40" w:history="1">
        <w:r w:rsidRPr="00480453">
          <w:rPr>
            <w:rStyle w:val="Hipervnculo"/>
            <w:rFonts w:ascii="Times New Roman" w:hAnsi="Times New Roman"/>
            <w:sz w:val="20"/>
            <w:szCs w:val="20"/>
          </w:rPr>
          <w:t>40</w:t>
        </w:r>
      </w:hyperlink>
      <w:r w:rsidRPr="00480453">
        <w:rPr>
          <w:rFonts w:ascii="Times New Roman" w:hAnsi="Times New Roman"/>
          <w:sz w:val="20"/>
          <w:szCs w:val="20"/>
        </w:rPr>
        <w:t xml:space="preserve"> de la Ley 153 de 1887, el cual quedará así: Artículo 40. Las leyes concernientes a la sustanciación y ritualidad de los juicios prevalecen sobre las anteriores desde el momento en que deben empezar a regir .Sin embargo,…los términos que hubieren comenzado a correr…se regirán por las leyes vigentes cuando…empezaron a correr los términos. </w:t>
      </w:r>
    </w:p>
    <w:p w:rsidR="003603BF" w:rsidRPr="00480453" w:rsidRDefault="003603BF" w:rsidP="00480453">
      <w:pPr>
        <w:pStyle w:val="Textonotapie"/>
        <w:rPr>
          <w:rFonts w:ascii="Times New Roman" w:hAnsi="Times New Roman"/>
        </w:rPr>
      </w:pPr>
    </w:p>
  </w:footnote>
  <w:footnote w:id="10">
    <w:p w:rsidR="003603BF" w:rsidRPr="00480453" w:rsidRDefault="003603BF" w:rsidP="00480453">
      <w:pPr>
        <w:pStyle w:val="Textonotapie"/>
        <w:rPr>
          <w:rFonts w:ascii="Times New Roman" w:hAnsi="Times New Roman"/>
          <w:lang w:val="es-CO"/>
        </w:rPr>
      </w:pPr>
      <w:r w:rsidRPr="00480453">
        <w:rPr>
          <w:rFonts w:ascii="Times New Roman" w:hAnsi="Times New Roman"/>
        </w:rPr>
        <w:tab/>
      </w:r>
      <w:r w:rsidRPr="00480453">
        <w:rPr>
          <w:rStyle w:val="Refdenotaalpie"/>
          <w:rFonts w:ascii="Times New Roman" w:hAnsi="Times New Roman"/>
        </w:rPr>
        <w:footnoteRef/>
      </w:r>
      <w:r w:rsidRPr="00480453">
        <w:rPr>
          <w:rFonts w:ascii="Times New Roman" w:hAnsi="Times New Roman"/>
        </w:rPr>
        <w:t xml:space="preserve"> </w:t>
      </w:r>
      <w:r w:rsidRPr="00480453">
        <w:rPr>
          <w:rFonts w:ascii="Times New Roman" w:hAnsi="Times New Roman"/>
          <w:lang w:val="es-CO"/>
        </w:rPr>
        <w:t xml:space="preserve">CSJ AP 4 </w:t>
      </w:r>
      <w:proofErr w:type="spellStart"/>
      <w:r w:rsidRPr="00480453">
        <w:rPr>
          <w:rFonts w:ascii="Times New Roman" w:hAnsi="Times New Roman"/>
          <w:lang w:val="es-CO"/>
        </w:rPr>
        <w:t>may</w:t>
      </w:r>
      <w:proofErr w:type="spellEnd"/>
      <w:r w:rsidRPr="00480453">
        <w:rPr>
          <w:rFonts w:ascii="Times New Roman" w:hAnsi="Times New Roman"/>
          <w:lang w:val="es-CO"/>
        </w:rPr>
        <w:t>. 2005, rad. 23.567.</w:t>
      </w:r>
    </w:p>
  </w:footnote>
  <w:footnote w:id="11">
    <w:p w:rsidR="003603BF" w:rsidRPr="00480453" w:rsidRDefault="003603BF" w:rsidP="00480453">
      <w:pPr>
        <w:spacing w:after="0" w:line="240" w:lineRule="auto"/>
        <w:ind w:firstLine="703"/>
        <w:jc w:val="both"/>
        <w:rPr>
          <w:rFonts w:ascii="Times New Roman" w:hAnsi="Times New Roman"/>
          <w:sz w:val="20"/>
          <w:szCs w:val="20"/>
          <w:lang w:val="es-MX"/>
        </w:rPr>
      </w:pPr>
      <w:r w:rsidRPr="00480453">
        <w:rPr>
          <w:rFonts w:ascii="Times New Roman" w:hAnsi="Times New Roman"/>
          <w:sz w:val="20"/>
          <w:szCs w:val="20"/>
        </w:rPr>
        <w:tab/>
      </w:r>
      <w:r w:rsidRPr="00480453">
        <w:rPr>
          <w:rStyle w:val="Refdenotaalpie"/>
          <w:rFonts w:ascii="Times New Roman" w:hAnsi="Times New Roman"/>
          <w:sz w:val="20"/>
          <w:szCs w:val="20"/>
        </w:rPr>
        <w:footnoteRef/>
      </w:r>
      <w:r w:rsidRPr="00480453">
        <w:rPr>
          <w:rFonts w:ascii="Times New Roman" w:hAnsi="Times New Roman"/>
          <w:sz w:val="20"/>
          <w:szCs w:val="20"/>
        </w:rPr>
        <w:t xml:space="preserve"> Sobre el particular, cfr. </w:t>
      </w:r>
      <w:r w:rsidRPr="00480453">
        <w:rPr>
          <w:rFonts w:ascii="Times New Roman" w:eastAsia="WarnockPro-Regular" w:hAnsi="Times New Roman"/>
          <w:sz w:val="20"/>
          <w:szCs w:val="20"/>
        </w:rPr>
        <w:t xml:space="preserve">ARMENTA DEU, Teresa. </w:t>
      </w:r>
      <w:r w:rsidRPr="00480453">
        <w:rPr>
          <w:rFonts w:ascii="Times New Roman" w:eastAsia="WarnockPro-Regular" w:hAnsi="Times New Roman"/>
          <w:i/>
          <w:iCs/>
          <w:sz w:val="20"/>
          <w:szCs w:val="20"/>
        </w:rPr>
        <w:t xml:space="preserve">Lecciones de Derecho Procesal Penal. </w:t>
      </w:r>
      <w:r w:rsidRPr="00480453">
        <w:rPr>
          <w:rFonts w:ascii="Times New Roman" w:eastAsia="WarnockPro-Regular" w:hAnsi="Times New Roman"/>
          <w:sz w:val="20"/>
          <w:szCs w:val="20"/>
        </w:rPr>
        <w:t xml:space="preserve">Barcelona: Marcial Pons, 2003, pp.193-195 y SANGUINÉ, </w:t>
      </w:r>
      <w:proofErr w:type="spellStart"/>
      <w:r w:rsidRPr="00480453">
        <w:rPr>
          <w:rFonts w:ascii="Times New Roman" w:eastAsia="WarnockPro-Regular" w:hAnsi="Times New Roman"/>
          <w:sz w:val="20"/>
          <w:szCs w:val="20"/>
        </w:rPr>
        <w:t>Odone</w:t>
      </w:r>
      <w:proofErr w:type="spellEnd"/>
      <w:r w:rsidRPr="00480453">
        <w:rPr>
          <w:rFonts w:ascii="Times New Roman" w:eastAsia="WarnockPro-Regular" w:hAnsi="Times New Roman"/>
          <w:sz w:val="20"/>
          <w:szCs w:val="20"/>
        </w:rPr>
        <w:t xml:space="preserve">. </w:t>
      </w:r>
      <w:r w:rsidRPr="00480453">
        <w:rPr>
          <w:rFonts w:ascii="Times New Roman" w:eastAsia="WarnockPro-Regular" w:hAnsi="Times New Roman"/>
          <w:i/>
          <w:iCs/>
          <w:sz w:val="20"/>
          <w:szCs w:val="20"/>
        </w:rPr>
        <w:t xml:space="preserve">Prisión provisional y derechos fundamentales. </w:t>
      </w:r>
      <w:r w:rsidRPr="00480453">
        <w:rPr>
          <w:rFonts w:ascii="Times New Roman" w:eastAsia="WarnockPro-Regular" w:hAnsi="Times New Roman"/>
          <w:sz w:val="20"/>
          <w:szCs w:val="20"/>
        </w:rPr>
        <w:t xml:space="preserve">Valencia: Tirant lo </w:t>
      </w:r>
      <w:proofErr w:type="spellStart"/>
      <w:r w:rsidRPr="00480453">
        <w:rPr>
          <w:rFonts w:ascii="Times New Roman" w:eastAsia="WarnockPro-Regular" w:hAnsi="Times New Roman"/>
          <w:sz w:val="20"/>
          <w:szCs w:val="20"/>
        </w:rPr>
        <w:t>blanch</w:t>
      </w:r>
      <w:proofErr w:type="spellEnd"/>
      <w:r w:rsidRPr="00480453">
        <w:rPr>
          <w:rFonts w:ascii="Times New Roman" w:eastAsia="WarnockPro-Regular" w:hAnsi="Times New Roman"/>
          <w:sz w:val="20"/>
          <w:szCs w:val="20"/>
        </w:rPr>
        <w:t xml:space="preserve">, 2003, pp. 89 y 96-97. </w:t>
      </w:r>
    </w:p>
    <w:p w:rsidR="003603BF" w:rsidRPr="00FA3473" w:rsidRDefault="003603BF" w:rsidP="00C75D15">
      <w:pPr>
        <w:pStyle w:val="Textonotapie"/>
        <w:rPr>
          <w:lang w:val="es-MX"/>
        </w:rPr>
      </w:pPr>
    </w:p>
  </w:footnote>
  <w:footnote w:id="12">
    <w:p w:rsidR="00C109DB" w:rsidRPr="00C109DB" w:rsidRDefault="00C109DB" w:rsidP="00C109DB">
      <w:pPr>
        <w:pStyle w:val="Textonotapie"/>
        <w:jc w:val="both"/>
        <w:rPr>
          <w:rFonts w:ascii="Times New Roman" w:hAnsi="Times New Roman"/>
        </w:rPr>
      </w:pPr>
      <w:r w:rsidRPr="00C109DB">
        <w:rPr>
          <w:rFonts w:ascii="Times New Roman" w:hAnsi="Times New Roman"/>
        </w:rPr>
        <w:tab/>
      </w:r>
      <w:r w:rsidRPr="00C109DB">
        <w:rPr>
          <w:rStyle w:val="Refdenotaalpie"/>
          <w:rFonts w:ascii="Times New Roman" w:hAnsi="Times New Roman"/>
        </w:rPr>
        <w:footnoteRef/>
      </w:r>
      <w:r w:rsidRPr="00C109DB">
        <w:rPr>
          <w:rFonts w:ascii="Times New Roman" w:hAnsi="Times New Roman"/>
        </w:rPr>
        <w:t xml:space="preserve"> Sobre el particular, cfr., entre otras, CIDH caso Ricardo </w:t>
      </w:r>
      <w:proofErr w:type="spellStart"/>
      <w:r w:rsidRPr="00C109DB">
        <w:rPr>
          <w:rFonts w:ascii="Times New Roman" w:hAnsi="Times New Roman"/>
        </w:rPr>
        <w:t>Canese</w:t>
      </w:r>
      <w:proofErr w:type="spellEnd"/>
      <w:r w:rsidRPr="00C109DB">
        <w:rPr>
          <w:rFonts w:ascii="Times New Roman" w:hAnsi="Times New Roman"/>
        </w:rPr>
        <w:t xml:space="preserve"> vs. Paraguay, sentencia del 31 de agosto de 2004; caso </w:t>
      </w:r>
      <w:proofErr w:type="spellStart"/>
      <w:r w:rsidRPr="00C109DB">
        <w:rPr>
          <w:rFonts w:ascii="Times New Roman" w:hAnsi="Times New Roman"/>
        </w:rPr>
        <w:t>Furlán</w:t>
      </w:r>
      <w:proofErr w:type="spellEnd"/>
      <w:r w:rsidRPr="00C109DB">
        <w:rPr>
          <w:rFonts w:ascii="Times New Roman" w:hAnsi="Times New Roman"/>
        </w:rPr>
        <w:t xml:space="preserve"> y familiares vs. Argentina, sentencia de 31 de agosto de 2012 y caso Valle Jaramillo y otros vs. Colombia, sentencia de 27 de noviembre de 2008. </w:t>
      </w:r>
    </w:p>
  </w:footnote>
  <w:footnote w:id="13">
    <w:p w:rsidR="003603BF" w:rsidRPr="008F0FB7" w:rsidRDefault="003603BF" w:rsidP="00E14175">
      <w:pPr>
        <w:pStyle w:val="Textonotapie"/>
        <w:ind w:firstLine="709"/>
        <w:rPr>
          <w:rFonts w:ascii="Bookman Old Style" w:hAnsi="Bookman Old Style"/>
          <w:lang w:val="es-CO"/>
        </w:rPr>
      </w:pPr>
      <w:r w:rsidRPr="008F0FB7">
        <w:rPr>
          <w:rStyle w:val="Refdenotaalpie"/>
          <w:rFonts w:ascii="Bookman Old Style" w:hAnsi="Bookman Old Style"/>
        </w:rPr>
        <w:footnoteRef/>
      </w:r>
      <w:r w:rsidRPr="008F0FB7">
        <w:rPr>
          <w:rFonts w:ascii="Bookman Old Style" w:hAnsi="Bookman Old Style"/>
        </w:rPr>
        <w:t xml:space="preserve"> </w:t>
      </w:r>
      <w:r w:rsidRPr="008F0FB7">
        <w:rPr>
          <w:rFonts w:ascii="Bookman Old Style" w:hAnsi="Bookman Old Style"/>
          <w:lang w:val="es-CO"/>
        </w:rPr>
        <w:t>Ver folio 318 del cuaderno de la Corte.</w:t>
      </w:r>
    </w:p>
  </w:footnote>
  <w:footnote w:id="14">
    <w:p w:rsidR="003603BF" w:rsidRPr="00CD29CF" w:rsidRDefault="003603BF" w:rsidP="00E14175">
      <w:pPr>
        <w:pStyle w:val="Textonotapie"/>
        <w:ind w:firstLine="709"/>
        <w:jc w:val="both"/>
        <w:rPr>
          <w:rFonts w:ascii="Bookman Old Style" w:hAnsi="Bookman Old Style"/>
          <w:lang w:val="es-CO"/>
        </w:rPr>
      </w:pPr>
      <w:r w:rsidRPr="00CD29CF">
        <w:rPr>
          <w:rStyle w:val="Refdenotaalpie"/>
          <w:rFonts w:ascii="Bookman Old Style" w:hAnsi="Bookman Old Style"/>
        </w:rPr>
        <w:footnoteRef/>
      </w:r>
      <w:r w:rsidRPr="00CD29CF">
        <w:rPr>
          <w:rFonts w:ascii="Bookman Old Style" w:hAnsi="Bookman Old Style"/>
        </w:rPr>
        <w:t xml:space="preserve"> </w:t>
      </w:r>
      <w:r w:rsidRPr="00CD29CF">
        <w:rPr>
          <w:rFonts w:ascii="Bookman Old Style" w:hAnsi="Bookman Old Style"/>
          <w:lang w:val="es-CO"/>
        </w:rPr>
        <w:t>Se recuerda, que el auto mediante el cual se calificó el mérito del sumario adquirió firmeza el 9 de junio de 2017.</w:t>
      </w:r>
    </w:p>
  </w:footnote>
  <w:footnote w:id="15">
    <w:p w:rsidR="003603BF" w:rsidRPr="00A4255B" w:rsidRDefault="003603BF" w:rsidP="00315FB3">
      <w:pPr>
        <w:pStyle w:val="Textonotapie"/>
        <w:rPr>
          <w:rFonts w:ascii="Bookman Old Style" w:hAnsi="Bookman Old Style"/>
          <w:lang w:val="es-CO"/>
        </w:rPr>
      </w:pPr>
      <w:r w:rsidRPr="00A4255B">
        <w:rPr>
          <w:rStyle w:val="Refdenotaalpie"/>
          <w:rFonts w:ascii="Bookman Old Style" w:hAnsi="Bookman Old Style"/>
        </w:rPr>
        <w:footnoteRef/>
      </w:r>
      <w:r w:rsidRPr="00A4255B">
        <w:rPr>
          <w:rFonts w:ascii="Bookman Old Style" w:hAnsi="Bookman Old Style"/>
        </w:rPr>
        <w:t xml:space="preserve"> </w:t>
      </w:r>
      <w:r w:rsidRPr="00A4255B">
        <w:rPr>
          <w:rFonts w:ascii="Bookman Old Style" w:hAnsi="Bookman Old Style"/>
          <w:lang w:val="es-CO"/>
        </w:rPr>
        <w:t>Folios 325 a 327 ídem.</w:t>
      </w:r>
    </w:p>
  </w:footnote>
  <w:footnote w:id="16">
    <w:p w:rsidR="003603BF" w:rsidRPr="00A4255B" w:rsidRDefault="003603BF" w:rsidP="008F0DDB">
      <w:pPr>
        <w:pStyle w:val="Textonotapie"/>
        <w:rPr>
          <w:rFonts w:ascii="Bookman Old Style" w:hAnsi="Bookman Old Style"/>
          <w:lang w:val="es-CO"/>
        </w:rPr>
      </w:pPr>
      <w:r w:rsidRPr="00A4255B">
        <w:rPr>
          <w:rStyle w:val="Refdenotaalpie"/>
          <w:rFonts w:ascii="Bookman Old Style" w:hAnsi="Bookman Old Style"/>
        </w:rPr>
        <w:footnoteRef/>
      </w:r>
      <w:r w:rsidRPr="00A4255B">
        <w:rPr>
          <w:rFonts w:ascii="Bookman Old Style" w:hAnsi="Bookman Old Style"/>
        </w:rPr>
        <w:t xml:space="preserve"> </w:t>
      </w:r>
      <w:r w:rsidRPr="00A4255B">
        <w:rPr>
          <w:rFonts w:ascii="Bookman Old Style" w:hAnsi="Bookman Old Style"/>
          <w:lang w:val="es-CO"/>
        </w:rPr>
        <w:t>Folios 325 a 327 ídem.</w:t>
      </w:r>
    </w:p>
  </w:footnote>
  <w:footnote w:id="17">
    <w:p w:rsidR="000940E8" w:rsidRPr="000940E8" w:rsidRDefault="000940E8" w:rsidP="000940E8">
      <w:pPr>
        <w:pStyle w:val="Textonotapie"/>
        <w:ind w:firstLine="709"/>
        <w:jc w:val="both"/>
        <w:rPr>
          <w:rFonts w:ascii="Times New Roman" w:hAnsi="Times New Roman"/>
          <w:lang w:val="es-CO"/>
        </w:rPr>
      </w:pPr>
      <w:r w:rsidRPr="000940E8">
        <w:rPr>
          <w:rStyle w:val="Refdenotaalpie"/>
          <w:rFonts w:ascii="Times New Roman" w:hAnsi="Times New Roman"/>
        </w:rPr>
        <w:footnoteRef/>
      </w:r>
      <w:r w:rsidRPr="000940E8">
        <w:rPr>
          <w:rFonts w:ascii="Times New Roman" w:hAnsi="Times New Roman"/>
        </w:rPr>
        <w:t xml:space="preserve"> En realidad, se trata de un auto. </w:t>
      </w:r>
    </w:p>
  </w:footnote>
  <w:footnote w:id="18">
    <w:p w:rsidR="003603BF" w:rsidRPr="0011073D" w:rsidRDefault="003603BF" w:rsidP="00315FB3">
      <w:pPr>
        <w:pStyle w:val="Textonotapie"/>
        <w:rPr>
          <w:rFonts w:ascii="Bookman Old Style" w:hAnsi="Bookman Old Style"/>
          <w:lang w:val="es-CO"/>
        </w:rPr>
      </w:pPr>
      <w:r w:rsidRPr="0011073D">
        <w:rPr>
          <w:rStyle w:val="Refdenotaalpie"/>
          <w:rFonts w:ascii="Bookman Old Style" w:hAnsi="Bookman Old Style"/>
        </w:rPr>
        <w:footnoteRef/>
      </w:r>
      <w:r w:rsidRPr="0011073D">
        <w:rPr>
          <w:rFonts w:ascii="Bookman Old Style" w:hAnsi="Bookman Old Style"/>
        </w:rPr>
        <w:t xml:space="preserve"> </w:t>
      </w:r>
      <w:r w:rsidRPr="0011073D">
        <w:rPr>
          <w:rFonts w:ascii="Bookman Old Style" w:hAnsi="Bookman Old Style"/>
          <w:lang w:val="es-CO"/>
        </w:rPr>
        <w:t>Folios 11 a 13 de la decisión.</w:t>
      </w:r>
    </w:p>
  </w:footnote>
  <w:footnote w:id="19">
    <w:p w:rsidR="003603BF" w:rsidRPr="006A74D8" w:rsidRDefault="003603BF" w:rsidP="004513FB">
      <w:pPr>
        <w:pStyle w:val="Textonotapie"/>
        <w:jc w:val="both"/>
        <w:rPr>
          <w:rFonts w:ascii="Times New Roman" w:hAnsi="Times New Roman"/>
        </w:rPr>
      </w:pPr>
      <w:r>
        <w:tab/>
      </w:r>
      <w:r w:rsidRPr="004513FB">
        <w:rPr>
          <w:rStyle w:val="Refdenotaalpie"/>
          <w:rFonts w:ascii="Times New Roman" w:hAnsi="Times New Roman"/>
        </w:rPr>
        <w:footnoteRef/>
      </w:r>
      <w:r w:rsidRPr="004513FB">
        <w:rPr>
          <w:rFonts w:ascii="Times New Roman" w:hAnsi="Times New Roman"/>
        </w:rPr>
        <w:t xml:space="preserve"> Al respecto, en la CSJ SP 4 jun. 2003, rad. 20.803, la Sala de Casación Penal puso de presente, en relación con el art. 163 de la Ley 600 de 2000, que la solicitud de la prórroga por las partes “</w:t>
      </w:r>
      <w:r w:rsidRPr="004513FB">
        <w:rPr>
          <w:rFonts w:ascii="Times New Roman" w:hAnsi="Times New Roman"/>
          <w:i/>
        </w:rPr>
        <w:t xml:space="preserve">encuentra su razón de ser en el hecho de que el uso de los términos establecidos </w:t>
      </w:r>
      <w:r w:rsidRPr="004513FB">
        <w:rPr>
          <w:rFonts w:ascii="Times New Roman" w:hAnsi="Times New Roman"/>
          <w:b/>
          <w:i/>
        </w:rPr>
        <w:t>para que las partes actúen</w:t>
      </w:r>
      <w:r w:rsidRPr="004513FB">
        <w:rPr>
          <w:rFonts w:ascii="Times New Roman" w:hAnsi="Times New Roman"/>
          <w:i/>
        </w:rPr>
        <w:t xml:space="preserve">, queda a su discreción”. </w:t>
      </w:r>
      <w:r>
        <w:rPr>
          <w:rFonts w:ascii="Times New Roman" w:hAnsi="Times New Roman"/>
        </w:rPr>
        <w:t xml:space="preserve">En esa dirección, por ejemplo, puede traerse a colación la eventualidad en que un sujeto procesal deja vencer un término para interponer recursos, sin solicitar oportunamente la prórroga: En efecto, mediante AP 15 jul. 2003, rad. 18.06, la Corte “reiteró que </w:t>
      </w:r>
      <w:r w:rsidRPr="006A74D8">
        <w:rPr>
          <w:rFonts w:ascii="Times New Roman" w:hAnsi="Times New Roman"/>
          <w:b/>
          <w:i/>
        </w:rPr>
        <w:t>quienes intervienen en el proceso</w:t>
      </w:r>
      <w:r>
        <w:rPr>
          <w:rFonts w:ascii="Times New Roman" w:hAnsi="Times New Roman"/>
        </w:rPr>
        <w:t xml:space="preserve"> deben estar atentos y llevar sus propias cuentas, máxime si están interesados en hacer uso de los mecanismos legales consagrados para la defensa de sus intereses”. En igual sentido, cfr. AP 10 oct. 2012, rad. 39.671 y AP 6 feb. 2013, rad. 40.032. </w:t>
      </w:r>
    </w:p>
  </w:footnote>
  <w:footnote w:id="20">
    <w:p w:rsidR="000F1927" w:rsidRDefault="000F1927" w:rsidP="000F1927">
      <w:pPr>
        <w:spacing w:after="0" w:line="336" w:lineRule="auto"/>
        <w:ind w:firstLine="705"/>
        <w:jc w:val="both"/>
        <w:rPr>
          <w:rFonts w:ascii="Bookman Old Style" w:hAnsi="Bookman Old Style"/>
          <w:sz w:val="27"/>
          <w:szCs w:val="27"/>
        </w:rPr>
      </w:pPr>
      <w:r>
        <w:tab/>
      </w:r>
      <w:r>
        <w:rPr>
          <w:rStyle w:val="Refdenotaalpie"/>
        </w:rPr>
        <w:footnoteRef/>
      </w:r>
      <w:r>
        <w:t xml:space="preserve"> </w:t>
      </w:r>
      <w:r w:rsidRPr="00FA3473">
        <w:rPr>
          <w:rFonts w:ascii="Times New Roman" w:hAnsi="Times New Roman"/>
        </w:rPr>
        <w:t>Ver Gaceta del Congreso de la Republica N° 157, del 19 de abril de 2016, pp. 7-8.</w:t>
      </w:r>
    </w:p>
    <w:p w:rsidR="000F1927" w:rsidRPr="000F1927" w:rsidRDefault="000F1927">
      <w:pPr>
        <w:pStyle w:val="Textonotapie"/>
        <w:rPr>
          <w:lang w:val="es-CO"/>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03BF" w:rsidRDefault="003603BF" w:rsidP="000C7C84">
    <w:pPr>
      <w:pStyle w:val="Encabezado"/>
      <w:spacing w:after="0" w:line="240" w:lineRule="auto"/>
      <w:jc w:val="right"/>
      <w:rPr>
        <w:rFonts w:ascii="Franklin Gothic Book" w:hAnsi="Franklin Gothic Book"/>
        <w:b/>
        <w:i/>
        <w:sz w:val="18"/>
      </w:rPr>
    </w:pPr>
  </w:p>
  <w:p w:rsidR="003603BF" w:rsidRDefault="003603BF" w:rsidP="000C7C84">
    <w:pPr>
      <w:pStyle w:val="Encabezado"/>
      <w:spacing w:after="0" w:line="240" w:lineRule="auto"/>
      <w:jc w:val="right"/>
      <w:rPr>
        <w:rFonts w:ascii="Bookman Old Style" w:hAnsi="Bookman Old Style"/>
        <w:i/>
        <w:sz w:val="18"/>
      </w:rPr>
    </w:pPr>
    <w:r>
      <w:rPr>
        <w:rFonts w:ascii="Bookman Old Style" w:hAnsi="Bookman Old Style"/>
        <w:i/>
        <w:sz w:val="18"/>
      </w:rPr>
      <w:t>Acción de tutela</w:t>
    </w:r>
  </w:p>
  <w:p w:rsidR="003603BF" w:rsidRDefault="003603BF" w:rsidP="000C7C84">
    <w:pPr>
      <w:pStyle w:val="Encabezado"/>
      <w:spacing w:after="0" w:line="240" w:lineRule="auto"/>
      <w:jc w:val="right"/>
      <w:rPr>
        <w:rFonts w:ascii="Bookman Old Style" w:hAnsi="Bookman Old Style"/>
        <w:i/>
        <w:sz w:val="18"/>
      </w:rPr>
    </w:pPr>
    <w:r w:rsidRPr="00BD4D2E">
      <w:rPr>
        <w:rFonts w:ascii="Bookman Old Style" w:hAnsi="Bookman Old Style"/>
        <w:i/>
        <w:sz w:val="18"/>
      </w:rPr>
      <w:t>Rad</w:t>
    </w:r>
    <w:r>
      <w:rPr>
        <w:rFonts w:ascii="Bookman Old Style" w:hAnsi="Bookman Old Style"/>
        <w:i/>
        <w:sz w:val="18"/>
      </w:rPr>
      <w:t>icación</w:t>
    </w:r>
    <w:r w:rsidRPr="00BD4D2E">
      <w:rPr>
        <w:rFonts w:ascii="Bookman Old Style" w:hAnsi="Bookman Old Style"/>
        <w:i/>
        <w:sz w:val="18"/>
      </w:rPr>
      <w:t xml:space="preserve"> </w:t>
    </w:r>
    <w:r>
      <w:rPr>
        <w:rFonts w:ascii="Bookman Old Style" w:hAnsi="Bookman Old Style"/>
        <w:i/>
        <w:sz w:val="18"/>
      </w:rPr>
      <w:t>Nº 94.564</w:t>
    </w:r>
  </w:p>
  <w:p w:rsidR="003603BF" w:rsidRPr="00BD4D2E" w:rsidRDefault="003603BF" w:rsidP="000C7C84">
    <w:pPr>
      <w:pStyle w:val="Encabezado"/>
      <w:spacing w:after="0" w:line="240" w:lineRule="auto"/>
      <w:jc w:val="right"/>
      <w:rPr>
        <w:rFonts w:ascii="Bookman Old Style" w:hAnsi="Bookman Old Style"/>
        <w:i/>
        <w:sz w:val="18"/>
      </w:rPr>
    </w:pPr>
    <w:r>
      <w:rPr>
        <w:rFonts w:ascii="Bookman Old Style" w:hAnsi="Bookman Old Style"/>
        <w:i/>
        <w:sz w:val="18"/>
      </w:rPr>
      <w:t>Santiago Uribe Vélez</w:t>
    </w:r>
  </w:p>
  <w:p w:rsidR="003603BF" w:rsidRDefault="003603BF" w:rsidP="0088214D">
    <w:pPr>
      <w:pStyle w:val="Encabezado"/>
      <w:spacing w:after="0" w:line="240" w:lineRule="auto"/>
      <w:jc w:val="right"/>
      <w:rPr>
        <w:b/>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03BF" w:rsidRDefault="00892C59" w:rsidP="00BD4D2E">
    <w:pPr>
      <w:pStyle w:val="Epgrafe"/>
      <w:ind w:left="-709"/>
      <w:jc w:val="center"/>
      <w:rPr>
        <w:rFonts w:ascii="Kunstler Script" w:hAnsi="Kunstler Script"/>
        <w:iCs/>
        <w:sz w:val="36"/>
        <w:szCs w:val="36"/>
      </w:rPr>
    </w:pPr>
    <w:r w:rsidRPr="00002082">
      <w:rPr>
        <w:i/>
        <w:noProof/>
        <w:sz w:val="22"/>
        <w:szCs w:val="22"/>
        <w:lang w:val="es-CO" w:eastAsia="es-CO"/>
      </w:rPr>
      <w:drawing>
        <wp:anchor distT="0" distB="0" distL="114300" distR="114300" simplePos="0" relativeHeight="251659264" behindDoc="1" locked="0" layoutInCell="1" allowOverlap="1" wp14:anchorId="75D78C03" wp14:editId="69235343">
          <wp:simplePos x="0" y="0"/>
          <wp:positionH relativeFrom="margin">
            <wp:posOffset>1810987</wp:posOffset>
          </wp:positionH>
          <wp:positionV relativeFrom="paragraph">
            <wp:posOffset>130843</wp:posOffset>
          </wp:positionV>
          <wp:extent cx="1409700" cy="1727200"/>
          <wp:effectExtent l="0" t="0" r="0"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Personalizados14.png"/>
                  <pic:cNvPicPr/>
                </pic:nvPicPr>
                <pic:blipFill rotWithShape="1">
                  <a:blip r:embed="rId1" cstate="print">
                    <a:extLst>
                      <a:ext uri="{28A0092B-C50C-407E-A947-70E740481C1C}">
                        <a14:useLocalDpi xmlns:a14="http://schemas.microsoft.com/office/drawing/2010/main" val="0"/>
                      </a:ext>
                    </a:extLst>
                  </a:blip>
                  <a:srcRect l="14743" t="3206" r="14103" b="9615"/>
                  <a:stretch/>
                </pic:blipFill>
                <pic:spPr bwMode="auto">
                  <a:xfrm>
                    <a:off x="0" y="0"/>
                    <a:ext cx="1409700" cy="1727200"/>
                  </a:xfrm>
                  <a:prstGeom prst="rect">
                    <a:avLst/>
                  </a:prstGeom>
                  <a:ln>
                    <a:noFill/>
                  </a:ln>
                  <a:extLst>
                    <a:ext uri="{53640926-AAD7-44D8-BBD7-CCE9431645EC}">
                      <a14:shadowObscured xmlns:a14="http://schemas.microsoft.com/office/drawing/2010/main"/>
                    </a:ext>
                  </a:extLst>
                </pic:spPr>
              </pic:pic>
            </a:graphicData>
          </a:graphic>
        </wp:anchor>
      </w:drawing>
    </w:r>
  </w:p>
  <w:p w:rsidR="003603BF" w:rsidRPr="00BD4D2E" w:rsidRDefault="003603BF" w:rsidP="00ED7C6A">
    <w:pPr>
      <w:jc w:val="center"/>
      <w:rPr>
        <w:lang w:val="es-ES" w:eastAsia="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EB1BC9"/>
    <w:multiLevelType w:val="hybridMultilevel"/>
    <w:tmpl w:val="E24E5D34"/>
    <w:lvl w:ilvl="0" w:tplc="257A2E12">
      <w:start w:val="1"/>
      <w:numFmt w:val="decimal"/>
      <w:lvlText w:val="%1."/>
      <w:lvlJc w:val="left"/>
      <w:pPr>
        <w:tabs>
          <w:tab w:val="num" w:pos="1005"/>
        </w:tabs>
        <w:ind w:left="1005" w:hanging="64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6E114110"/>
    <w:multiLevelType w:val="hybridMultilevel"/>
    <w:tmpl w:val="21563326"/>
    <w:lvl w:ilvl="0" w:tplc="E8744EBE">
      <w:start w:val="3"/>
      <w:numFmt w:val="decimal"/>
      <w:lvlText w:val="%1."/>
      <w:lvlJc w:val="left"/>
      <w:pPr>
        <w:tabs>
          <w:tab w:val="num" w:pos="1410"/>
        </w:tabs>
        <w:ind w:left="1410" w:hanging="705"/>
      </w:pPr>
      <w:rPr>
        <w:rFonts w:hint="default"/>
        <w:b/>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fr-FR" w:vendorID="64" w:dllVersion="131078" w:nlCheck="1" w:checkStyle="1"/>
  <w:proofState w:spelling="clean" w:grammar="clean"/>
  <w:documentProtection w:edit="readOnly" w:formatting="1" w:enforcement="0"/>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783"/>
    <w:rsid w:val="00000F8D"/>
    <w:rsid w:val="00001238"/>
    <w:rsid w:val="00002359"/>
    <w:rsid w:val="00006988"/>
    <w:rsid w:val="00007636"/>
    <w:rsid w:val="00010DF0"/>
    <w:rsid w:val="0001237C"/>
    <w:rsid w:val="000143FF"/>
    <w:rsid w:val="00014DBC"/>
    <w:rsid w:val="0002231D"/>
    <w:rsid w:val="00023963"/>
    <w:rsid w:val="00023E6F"/>
    <w:rsid w:val="0002597C"/>
    <w:rsid w:val="000319B1"/>
    <w:rsid w:val="00032537"/>
    <w:rsid w:val="00032875"/>
    <w:rsid w:val="00040BAE"/>
    <w:rsid w:val="00045673"/>
    <w:rsid w:val="00047D4F"/>
    <w:rsid w:val="00047E9A"/>
    <w:rsid w:val="0005144D"/>
    <w:rsid w:val="00055FCF"/>
    <w:rsid w:val="00057D68"/>
    <w:rsid w:val="000616A6"/>
    <w:rsid w:val="0006367F"/>
    <w:rsid w:val="0006441A"/>
    <w:rsid w:val="00067EA2"/>
    <w:rsid w:val="00073421"/>
    <w:rsid w:val="000743F8"/>
    <w:rsid w:val="0007448A"/>
    <w:rsid w:val="00084D2C"/>
    <w:rsid w:val="0008576F"/>
    <w:rsid w:val="00087E1D"/>
    <w:rsid w:val="00090BDE"/>
    <w:rsid w:val="00091CC8"/>
    <w:rsid w:val="00092668"/>
    <w:rsid w:val="00092CA3"/>
    <w:rsid w:val="000940E5"/>
    <w:rsid w:val="000940E8"/>
    <w:rsid w:val="00095A6E"/>
    <w:rsid w:val="00096FC9"/>
    <w:rsid w:val="000A051F"/>
    <w:rsid w:val="000A0AA9"/>
    <w:rsid w:val="000A157A"/>
    <w:rsid w:val="000A1A3F"/>
    <w:rsid w:val="000B044E"/>
    <w:rsid w:val="000B290F"/>
    <w:rsid w:val="000B29AC"/>
    <w:rsid w:val="000B6D07"/>
    <w:rsid w:val="000B7D29"/>
    <w:rsid w:val="000B7DDD"/>
    <w:rsid w:val="000C16FB"/>
    <w:rsid w:val="000C3318"/>
    <w:rsid w:val="000C63BB"/>
    <w:rsid w:val="000C7C84"/>
    <w:rsid w:val="000D2813"/>
    <w:rsid w:val="000D3C04"/>
    <w:rsid w:val="000D3FAD"/>
    <w:rsid w:val="000D4A91"/>
    <w:rsid w:val="000D7E32"/>
    <w:rsid w:val="000E13A4"/>
    <w:rsid w:val="000E4654"/>
    <w:rsid w:val="000E508E"/>
    <w:rsid w:val="000E7068"/>
    <w:rsid w:val="000F1927"/>
    <w:rsid w:val="000F718A"/>
    <w:rsid w:val="00104083"/>
    <w:rsid w:val="001045D1"/>
    <w:rsid w:val="00106C41"/>
    <w:rsid w:val="0010729E"/>
    <w:rsid w:val="0011073D"/>
    <w:rsid w:val="00110BE1"/>
    <w:rsid w:val="00111BA6"/>
    <w:rsid w:val="0011233B"/>
    <w:rsid w:val="00113229"/>
    <w:rsid w:val="00113E66"/>
    <w:rsid w:val="00115783"/>
    <w:rsid w:val="00115D02"/>
    <w:rsid w:val="00116E3C"/>
    <w:rsid w:val="00120A06"/>
    <w:rsid w:val="0012151F"/>
    <w:rsid w:val="0012364E"/>
    <w:rsid w:val="00125680"/>
    <w:rsid w:val="00126CEA"/>
    <w:rsid w:val="00130E21"/>
    <w:rsid w:val="00131D7B"/>
    <w:rsid w:val="00134C14"/>
    <w:rsid w:val="00134FA6"/>
    <w:rsid w:val="001361DC"/>
    <w:rsid w:val="00136E3A"/>
    <w:rsid w:val="001370C7"/>
    <w:rsid w:val="00142926"/>
    <w:rsid w:val="00144B11"/>
    <w:rsid w:val="00147669"/>
    <w:rsid w:val="00147F80"/>
    <w:rsid w:val="00150F8F"/>
    <w:rsid w:val="00152A8F"/>
    <w:rsid w:val="001534F2"/>
    <w:rsid w:val="001547BB"/>
    <w:rsid w:val="00156BFC"/>
    <w:rsid w:val="00165D11"/>
    <w:rsid w:val="0016630D"/>
    <w:rsid w:val="0016732B"/>
    <w:rsid w:val="00171E1B"/>
    <w:rsid w:val="001767D6"/>
    <w:rsid w:val="001808FB"/>
    <w:rsid w:val="00181326"/>
    <w:rsid w:val="00183EFD"/>
    <w:rsid w:val="00184066"/>
    <w:rsid w:val="001931E6"/>
    <w:rsid w:val="00193A56"/>
    <w:rsid w:val="0019403E"/>
    <w:rsid w:val="00195CA3"/>
    <w:rsid w:val="00195D7C"/>
    <w:rsid w:val="001A0069"/>
    <w:rsid w:val="001A0558"/>
    <w:rsid w:val="001A0B74"/>
    <w:rsid w:val="001A6E37"/>
    <w:rsid w:val="001A6E5C"/>
    <w:rsid w:val="001A6E85"/>
    <w:rsid w:val="001A7660"/>
    <w:rsid w:val="001B1964"/>
    <w:rsid w:val="001B63BE"/>
    <w:rsid w:val="001B736D"/>
    <w:rsid w:val="001B7C9D"/>
    <w:rsid w:val="001B7DD9"/>
    <w:rsid w:val="001C1B60"/>
    <w:rsid w:val="001C3A20"/>
    <w:rsid w:val="001D07D6"/>
    <w:rsid w:val="001D08E9"/>
    <w:rsid w:val="001D2AAE"/>
    <w:rsid w:val="001D2B6E"/>
    <w:rsid w:val="001D6016"/>
    <w:rsid w:val="001D79FC"/>
    <w:rsid w:val="001E0B0F"/>
    <w:rsid w:val="001E0B3E"/>
    <w:rsid w:val="001E23FC"/>
    <w:rsid w:val="001E630E"/>
    <w:rsid w:val="001F3071"/>
    <w:rsid w:val="001F3512"/>
    <w:rsid w:val="001F5E8B"/>
    <w:rsid w:val="001F7BCF"/>
    <w:rsid w:val="00200CB0"/>
    <w:rsid w:val="002014BC"/>
    <w:rsid w:val="00203081"/>
    <w:rsid w:val="002111AF"/>
    <w:rsid w:val="00211928"/>
    <w:rsid w:val="002152A1"/>
    <w:rsid w:val="002160ED"/>
    <w:rsid w:val="00220382"/>
    <w:rsid w:val="002203BC"/>
    <w:rsid w:val="00220E85"/>
    <w:rsid w:val="002245AE"/>
    <w:rsid w:val="00230B99"/>
    <w:rsid w:val="0023194C"/>
    <w:rsid w:val="00231A3E"/>
    <w:rsid w:val="002320DD"/>
    <w:rsid w:val="00237FC2"/>
    <w:rsid w:val="002400BC"/>
    <w:rsid w:val="00245A3E"/>
    <w:rsid w:val="002502D3"/>
    <w:rsid w:val="00250EC4"/>
    <w:rsid w:val="00254631"/>
    <w:rsid w:val="00255325"/>
    <w:rsid w:val="0025782E"/>
    <w:rsid w:val="002615E9"/>
    <w:rsid w:val="00261A30"/>
    <w:rsid w:val="0026620E"/>
    <w:rsid w:val="00273802"/>
    <w:rsid w:val="00273D17"/>
    <w:rsid w:val="0027590E"/>
    <w:rsid w:val="002763CA"/>
    <w:rsid w:val="00282DC6"/>
    <w:rsid w:val="00285652"/>
    <w:rsid w:val="00290F4A"/>
    <w:rsid w:val="0029131D"/>
    <w:rsid w:val="00291CCB"/>
    <w:rsid w:val="00292BEF"/>
    <w:rsid w:val="002945B3"/>
    <w:rsid w:val="0029797F"/>
    <w:rsid w:val="00297E32"/>
    <w:rsid w:val="002A1109"/>
    <w:rsid w:val="002A22F6"/>
    <w:rsid w:val="002A502C"/>
    <w:rsid w:val="002B0EAD"/>
    <w:rsid w:val="002B140C"/>
    <w:rsid w:val="002B189E"/>
    <w:rsid w:val="002B2E82"/>
    <w:rsid w:val="002B38AD"/>
    <w:rsid w:val="002B4206"/>
    <w:rsid w:val="002B55AB"/>
    <w:rsid w:val="002B6C9C"/>
    <w:rsid w:val="002B7F3C"/>
    <w:rsid w:val="002D0111"/>
    <w:rsid w:val="002D289B"/>
    <w:rsid w:val="002D3339"/>
    <w:rsid w:val="002D3ACA"/>
    <w:rsid w:val="002D5233"/>
    <w:rsid w:val="002D699A"/>
    <w:rsid w:val="002E116F"/>
    <w:rsid w:val="002E26D1"/>
    <w:rsid w:val="002E34B0"/>
    <w:rsid w:val="002E3F6D"/>
    <w:rsid w:val="002E7369"/>
    <w:rsid w:val="002F32B4"/>
    <w:rsid w:val="002F3346"/>
    <w:rsid w:val="002F536A"/>
    <w:rsid w:val="002F59A8"/>
    <w:rsid w:val="002F6B8F"/>
    <w:rsid w:val="00302206"/>
    <w:rsid w:val="00304CB9"/>
    <w:rsid w:val="00306434"/>
    <w:rsid w:val="00306AA4"/>
    <w:rsid w:val="00307A37"/>
    <w:rsid w:val="0031122E"/>
    <w:rsid w:val="00312D90"/>
    <w:rsid w:val="0031425F"/>
    <w:rsid w:val="00314AD9"/>
    <w:rsid w:val="00314FB8"/>
    <w:rsid w:val="0031541E"/>
    <w:rsid w:val="00315572"/>
    <w:rsid w:val="00315FB3"/>
    <w:rsid w:val="00316CA0"/>
    <w:rsid w:val="00320DF5"/>
    <w:rsid w:val="003210B2"/>
    <w:rsid w:val="00322C51"/>
    <w:rsid w:val="003233BE"/>
    <w:rsid w:val="00324108"/>
    <w:rsid w:val="00324E59"/>
    <w:rsid w:val="0032536B"/>
    <w:rsid w:val="00326923"/>
    <w:rsid w:val="00326EC6"/>
    <w:rsid w:val="003304E2"/>
    <w:rsid w:val="0033532F"/>
    <w:rsid w:val="003354AA"/>
    <w:rsid w:val="003356B2"/>
    <w:rsid w:val="00337B1E"/>
    <w:rsid w:val="00343637"/>
    <w:rsid w:val="003438DF"/>
    <w:rsid w:val="0034398C"/>
    <w:rsid w:val="00347602"/>
    <w:rsid w:val="00347EEC"/>
    <w:rsid w:val="003542EC"/>
    <w:rsid w:val="003543F8"/>
    <w:rsid w:val="00356C0F"/>
    <w:rsid w:val="00357E0B"/>
    <w:rsid w:val="003603BF"/>
    <w:rsid w:val="00362425"/>
    <w:rsid w:val="00362CD2"/>
    <w:rsid w:val="003633B1"/>
    <w:rsid w:val="003653CB"/>
    <w:rsid w:val="00367B03"/>
    <w:rsid w:val="00367BA2"/>
    <w:rsid w:val="00370C14"/>
    <w:rsid w:val="003717DD"/>
    <w:rsid w:val="0037242D"/>
    <w:rsid w:val="003725F0"/>
    <w:rsid w:val="00373069"/>
    <w:rsid w:val="00375F8F"/>
    <w:rsid w:val="003809E5"/>
    <w:rsid w:val="00382638"/>
    <w:rsid w:val="0038574F"/>
    <w:rsid w:val="00385D03"/>
    <w:rsid w:val="00385E52"/>
    <w:rsid w:val="00387F45"/>
    <w:rsid w:val="0039009D"/>
    <w:rsid w:val="00394C72"/>
    <w:rsid w:val="00397027"/>
    <w:rsid w:val="00397856"/>
    <w:rsid w:val="00397FF3"/>
    <w:rsid w:val="003A1790"/>
    <w:rsid w:val="003A2CBA"/>
    <w:rsid w:val="003A7CA5"/>
    <w:rsid w:val="003B48B4"/>
    <w:rsid w:val="003C2E55"/>
    <w:rsid w:val="003C40BB"/>
    <w:rsid w:val="003D0B66"/>
    <w:rsid w:val="003D2DFB"/>
    <w:rsid w:val="003D5B87"/>
    <w:rsid w:val="003D5F1E"/>
    <w:rsid w:val="003D6494"/>
    <w:rsid w:val="003E0D4E"/>
    <w:rsid w:val="003E0DBF"/>
    <w:rsid w:val="003E0E5E"/>
    <w:rsid w:val="003E389C"/>
    <w:rsid w:val="003E51F4"/>
    <w:rsid w:val="003E7117"/>
    <w:rsid w:val="003F284F"/>
    <w:rsid w:val="003F28A7"/>
    <w:rsid w:val="003F2F5E"/>
    <w:rsid w:val="003F34C8"/>
    <w:rsid w:val="003F34CA"/>
    <w:rsid w:val="003F3F3D"/>
    <w:rsid w:val="003F48DC"/>
    <w:rsid w:val="003F584D"/>
    <w:rsid w:val="00401C4C"/>
    <w:rsid w:val="0040751A"/>
    <w:rsid w:val="00416B6B"/>
    <w:rsid w:val="0042182B"/>
    <w:rsid w:val="0042221C"/>
    <w:rsid w:val="00423876"/>
    <w:rsid w:val="0042396D"/>
    <w:rsid w:val="004247EB"/>
    <w:rsid w:val="00425546"/>
    <w:rsid w:val="00430481"/>
    <w:rsid w:val="004323EA"/>
    <w:rsid w:val="00432915"/>
    <w:rsid w:val="00433593"/>
    <w:rsid w:val="00434E61"/>
    <w:rsid w:val="004409CE"/>
    <w:rsid w:val="0044496F"/>
    <w:rsid w:val="004455C8"/>
    <w:rsid w:val="00445D1A"/>
    <w:rsid w:val="00446472"/>
    <w:rsid w:val="004513FB"/>
    <w:rsid w:val="00451615"/>
    <w:rsid w:val="00451689"/>
    <w:rsid w:val="00453C93"/>
    <w:rsid w:val="00455C3E"/>
    <w:rsid w:val="00455E00"/>
    <w:rsid w:val="00457186"/>
    <w:rsid w:val="0046148F"/>
    <w:rsid w:val="00463681"/>
    <w:rsid w:val="00467B77"/>
    <w:rsid w:val="004731A1"/>
    <w:rsid w:val="0047490C"/>
    <w:rsid w:val="00476060"/>
    <w:rsid w:val="004763DA"/>
    <w:rsid w:val="0048030F"/>
    <w:rsid w:val="00480453"/>
    <w:rsid w:val="00481CDF"/>
    <w:rsid w:val="00482FF4"/>
    <w:rsid w:val="004830AD"/>
    <w:rsid w:val="004836F6"/>
    <w:rsid w:val="00483756"/>
    <w:rsid w:val="004935D7"/>
    <w:rsid w:val="004A1109"/>
    <w:rsid w:val="004A4DC9"/>
    <w:rsid w:val="004B08C4"/>
    <w:rsid w:val="004B228C"/>
    <w:rsid w:val="004B3CAA"/>
    <w:rsid w:val="004B44B1"/>
    <w:rsid w:val="004B496D"/>
    <w:rsid w:val="004C07AF"/>
    <w:rsid w:val="004C2790"/>
    <w:rsid w:val="004C3033"/>
    <w:rsid w:val="004C4387"/>
    <w:rsid w:val="004C7B82"/>
    <w:rsid w:val="004C7C25"/>
    <w:rsid w:val="004D379A"/>
    <w:rsid w:val="004D49AF"/>
    <w:rsid w:val="004D5330"/>
    <w:rsid w:val="004E3398"/>
    <w:rsid w:val="004F15EE"/>
    <w:rsid w:val="004F2D72"/>
    <w:rsid w:val="004F3C26"/>
    <w:rsid w:val="004F5244"/>
    <w:rsid w:val="00500649"/>
    <w:rsid w:val="005008F5"/>
    <w:rsid w:val="005075DA"/>
    <w:rsid w:val="005103AE"/>
    <w:rsid w:val="0051073A"/>
    <w:rsid w:val="005113ED"/>
    <w:rsid w:val="005141D4"/>
    <w:rsid w:val="005203F3"/>
    <w:rsid w:val="00521FDF"/>
    <w:rsid w:val="00523672"/>
    <w:rsid w:val="00525F2D"/>
    <w:rsid w:val="005275D4"/>
    <w:rsid w:val="005315BD"/>
    <w:rsid w:val="00534F93"/>
    <w:rsid w:val="005366DA"/>
    <w:rsid w:val="00536778"/>
    <w:rsid w:val="00541061"/>
    <w:rsid w:val="005410E9"/>
    <w:rsid w:val="00542840"/>
    <w:rsid w:val="00545BFD"/>
    <w:rsid w:val="00546CEC"/>
    <w:rsid w:val="0055348C"/>
    <w:rsid w:val="00557953"/>
    <w:rsid w:val="00560F68"/>
    <w:rsid w:val="005623A4"/>
    <w:rsid w:val="0056613E"/>
    <w:rsid w:val="00570934"/>
    <w:rsid w:val="00570DF6"/>
    <w:rsid w:val="0057100C"/>
    <w:rsid w:val="00571D86"/>
    <w:rsid w:val="00571F14"/>
    <w:rsid w:val="00573809"/>
    <w:rsid w:val="005751CC"/>
    <w:rsid w:val="00577901"/>
    <w:rsid w:val="005826E9"/>
    <w:rsid w:val="00582FD6"/>
    <w:rsid w:val="00583074"/>
    <w:rsid w:val="00583A7D"/>
    <w:rsid w:val="0058468F"/>
    <w:rsid w:val="005903C1"/>
    <w:rsid w:val="00590AF5"/>
    <w:rsid w:val="005925AF"/>
    <w:rsid w:val="0059555E"/>
    <w:rsid w:val="0059559C"/>
    <w:rsid w:val="00595B08"/>
    <w:rsid w:val="005A0F6E"/>
    <w:rsid w:val="005A4EF8"/>
    <w:rsid w:val="005A5D07"/>
    <w:rsid w:val="005A6915"/>
    <w:rsid w:val="005A76B9"/>
    <w:rsid w:val="005B074D"/>
    <w:rsid w:val="005B37B4"/>
    <w:rsid w:val="005D08DA"/>
    <w:rsid w:val="005D17CA"/>
    <w:rsid w:val="005D2276"/>
    <w:rsid w:val="005D29AA"/>
    <w:rsid w:val="005D3536"/>
    <w:rsid w:val="005D3865"/>
    <w:rsid w:val="005D484B"/>
    <w:rsid w:val="005E17E1"/>
    <w:rsid w:val="005E4ED3"/>
    <w:rsid w:val="005E520D"/>
    <w:rsid w:val="005E7CE7"/>
    <w:rsid w:val="005F0338"/>
    <w:rsid w:val="005F3007"/>
    <w:rsid w:val="005F40B4"/>
    <w:rsid w:val="005F5D18"/>
    <w:rsid w:val="00604911"/>
    <w:rsid w:val="00606605"/>
    <w:rsid w:val="006079B9"/>
    <w:rsid w:val="00616C33"/>
    <w:rsid w:val="00622003"/>
    <w:rsid w:val="006338BF"/>
    <w:rsid w:val="006347A5"/>
    <w:rsid w:val="00634A54"/>
    <w:rsid w:val="00636328"/>
    <w:rsid w:val="00636BFF"/>
    <w:rsid w:val="00637163"/>
    <w:rsid w:val="00640350"/>
    <w:rsid w:val="00646994"/>
    <w:rsid w:val="00646AC8"/>
    <w:rsid w:val="00650229"/>
    <w:rsid w:val="00656FAB"/>
    <w:rsid w:val="00670B64"/>
    <w:rsid w:val="00673092"/>
    <w:rsid w:val="00673808"/>
    <w:rsid w:val="00675462"/>
    <w:rsid w:val="0068371B"/>
    <w:rsid w:val="00683A24"/>
    <w:rsid w:val="00684011"/>
    <w:rsid w:val="00684FFD"/>
    <w:rsid w:val="00686940"/>
    <w:rsid w:val="006878AD"/>
    <w:rsid w:val="0069247F"/>
    <w:rsid w:val="00695276"/>
    <w:rsid w:val="0069630E"/>
    <w:rsid w:val="006A31F7"/>
    <w:rsid w:val="006A74D8"/>
    <w:rsid w:val="006A7D3C"/>
    <w:rsid w:val="006B08C1"/>
    <w:rsid w:val="006B6325"/>
    <w:rsid w:val="006B774D"/>
    <w:rsid w:val="006C08AB"/>
    <w:rsid w:val="006C1079"/>
    <w:rsid w:val="006C2249"/>
    <w:rsid w:val="006C365D"/>
    <w:rsid w:val="006C4AFB"/>
    <w:rsid w:val="006C4BAD"/>
    <w:rsid w:val="006C5821"/>
    <w:rsid w:val="006C6439"/>
    <w:rsid w:val="006C6646"/>
    <w:rsid w:val="006D001E"/>
    <w:rsid w:val="006D01AB"/>
    <w:rsid w:val="006D0AA9"/>
    <w:rsid w:val="006D30CF"/>
    <w:rsid w:val="006D42DA"/>
    <w:rsid w:val="006D44B9"/>
    <w:rsid w:val="006D48B6"/>
    <w:rsid w:val="006E191A"/>
    <w:rsid w:val="006E234D"/>
    <w:rsid w:val="006E77C1"/>
    <w:rsid w:val="006E7E41"/>
    <w:rsid w:val="006F3363"/>
    <w:rsid w:val="006F3456"/>
    <w:rsid w:val="006F37D1"/>
    <w:rsid w:val="006F7D9B"/>
    <w:rsid w:val="007015C8"/>
    <w:rsid w:val="00701BCB"/>
    <w:rsid w:val="0070262B"/>
    <w:rsid w:val="00702F76"/>
    <w:rsid w:val="007032F2"/>
    <w:rsid w:val="007033BD"/>
    <w:rsid w:val="007049AA"/>
    <w:rsid w:val="007062E5"/>
    <w:rsid w:val="00707A1D"/>
    <w:rsid w:val="007100C7"/>
    <w:rsid w:val="0071060C"/>
    <w:rsid w:val="00712078"/>
    <w:rsid w:val="00713D78"/>
    <w:rsid w:val="0071462D"/>
    <w:rsid w:val="007162C6"/>
    <w:rsid w:val="0072109F"/>
    <w:rsid w:val="00727D7F"/>
    <w:rsid w:val="00727FBE"/>
    <w:rsid w:val="00730FE1"/>
    <w:rsid w:val="007339D0"/>
    <w:rsid w:val="00734327"/>
    <w:rsid w:val="0073483E"/>
    <w:rsid w:val="007418C2"/>
    <w:rsid w:val="00743119"/>
    <w:rsid w:val="00743523"/>
    <w:rsid w:val="00744B08"/>
    <w:rsid w:val="00750FF2"/>
    <w:rsid w:val="007524C6"/>
    <w:rsid w:val="00752AA3"/>
    <w:rsid w:val="0075647A"/>
    <w:rsid w:val="00757BD8"/>
    <w:rsid w:val="00764F3B"/>
    <w:rsid w:val="007665A9"/>
    <w:rsid w:val="0077037A"/>
    <w:rsid w:val="00774F98"/>
    <w:rsid w:val="0077521D"/>
    <w:rsid w:val="0077633C"/>
    <w:rsid w:val="00777FA2"/>
    <w:rsid w:val="00783654"/>
    <w:rsid w:val="00784D27"/>
    <w:rsid w:val="00785A07"/>
    <w:rsid w:val="00786563"/>
    <w:rsid w:val="00787F8E"/>
    <w:rsid w:val="0079046F"/>
    <w:rsid w:val="00792257"/>
    <w:rsid w:val="00793453"/>
    <w:rsid w:val="007977FF"/>
    <w:rsid w:val="007979F3"/>
    <w:rsid w:val="007A4670"/>
    <w:rsid w:val="007A55A8"/>
    <w:rsid w:val="007A59DF"/>
    <w:rsid w:val="007A5F37"/>
    <w:rsid w:val="007A7CE6"/>
    <w:rsid w:val="007B00B8"/>
    <w:rsid w:val="007B0AAD"/>
    <w:rsid w:val="007B6C0F"/>
    <w:rsid w:val="007C00E1"/>
    <w:rsid w:val="007C523E"/>
    <w:rsid w:val="007C5CC2"/>
    <w:rsid w:val="007C6F84"/>
    <w:rsid w:val="007D153A"/>
    <w:rsid w:val="007D1AF5"/>
    <w:rsid w:val="007D4ACB"/>
    <w:rsid w:val="007D6CE2"/>
    <w:rsid w:val="007D7261"/>
    <w:rsid w:val="007E007E"/>
    <w:rsid w:val="007E3B4F"/>
    <w:rsid w:val="007E60F5"/>
    <w:rsid w:val="007E6618"/>
    <w:rsid w:val="007E68EC"/>
    <w:rsid w:val="007E7402"/>
    <w:rsid w:val="007F08D8"/>
    <w:rsid w:val="007F51F8"/>
    <w:rsid w:val="007F598D"/>
    <w:rsid w:val="007F721B"/>
    <w:rsid w:val="007F7778"/>
    <w:rsid w:val="00800C01"/>
    <w:rsid w:val="008020F4"/>
    <w:rsid w:val="00804BEC"/>
    <w:rsid w:val="0080547F"/>
    <w:rsid w:val="008105E7"/>
    <w:rsid w:val="00814870"/>
    <w:rsid w:val="00815273"/>
    <w:rsid w:val="00820C29"/>
    <w:rsid w:val="00823231"/>
    <w:rsid w:val="0082323B"/>
    <w:rsid w:val="00825380"/>
    <w:rsid w:val="00826557"/>
    <w:rsid w:val="008278A1"/>
    <w:rsid w:val="00834F26"/>
    <w:rsid w:val="00836492"/>
    <w:rsid w:val="008364AD"/>
    <w:rsid w:val="00840AB7"/>
    <w:rsid w:val="00840AF5"/>
    <w:rsid w:val="00841EF4"/>
    <w:rsid w:val="008455CA"/>
    <w:rsid w:val="00846635"/>
    <w:rsid w:val="00847D19"/>
    <w:rsid w:val="00850504"/>
    <w:rsid w:val="0085120A"/>
    <w:rsid w:val="00863990"/>
    <w:rsid w:val="0086534D"/>
    <w:rsid w:val="008746DD"/>
    <w:rsid w:val="00874C8A"/>
    <w:rsid w:val="00877827"/>
    <w:rsid w:val="0088214D"/>
    <w:rsid w:val="00884882"/>
    <w:rsid w:val="008874CA"/>
    <w:rsid w:val="00891A63"/>
    <w:rsid w:val="00892C59"/>
    <w:rsid w:val="008A1386"/>
    <w:rsid w:val="008A1882"/>
    <w:rsid w:val="008A5AA0"/>
    <w:rsid w:val="008A656E"/>
    <w:rsid w:val="008B0A48"/>
    <w:rsid w:val="008B0CDF"/>
    <w:rsid w:val="008B21B3"/>
    <w:rsid w:val="008B2B01"/>
    <w:rsid w:val="008B2C79"/>
    <w:rsid w:val="008B2D2D"/>
    <w:rsid w:val="008B3C07"/>
    <w:rsid w:val="008B57C4"/>
    <w:rsid w:val="008B5D0C"/>
    <w:rsid w:val="008B6D27"/>
    <w:rsid w:val="008B71FF"/>
    <w:rsid w:val="008C10CE"/>
    <w:rsid w:val="008C5975"/>
    <w:rsid w:val="008C5A5E"/>
    <w:rsid w:val="008C5B03"/>
    <w:rsid w:val="008C6245"/>
    <w:rsid w:val="008C7972"/>
    <w:rsid w:val="008D7C0F"/>
    <w:rsid w:val="008E3EB0"/>
    <w:rsid w:val="008E4302"/>
    <w:rsid w:val="008E473F"/>
    <w:rsid w:val="008F0DDB"/>
    <w:rsid w:val="008F0FB7"/>
    <w:rsid w:val="008F1B8D"/>
    <w:rsid w:val="008F3445"/>
    <w:rsid w:val="008F5772"/>
    <w:rsid w:val="00910E67"/>
    <w:rsid w:val="00912925"/>
    <w:rsid w:val="00916123"/>
    <w:rsid w:val="0092021B"/>
    <w:rsid w:val="00920B5E"/>
    <w:rsid w:val="00920F19"/>
    <w:rsid w:val="00922F8D"/>
    <w:rsid w:val="00927102"/>
    <w:rsid w:val="00927F5F"/>
    <w:rsid w:val="00930573"/>
    <w:rsid w:val="00930750"/>
    <w:rsid w:val="0093311C"/>
    <w:rsid w:val="00936591"/>
    <w:rsid w:val="0093760D"/>
    <w:rsid w:val="00941A86"/>
    <w:rsid w:val="009549A2"/>
    <w:rsid w:val="00956F18"/>
    <w:rsid w:val="00961065"/>
    <w:rsid w:val="0096232F"/>
    <w:rsid w:val="00964D2A"/>
    <w:rsid w:val="009663BF"/>
    <w:rsid w:val="009675F5"/>
    <w:rsid w:val="00972830"/>
    <w:rsid w:val="00972C22"/>
    <w:rsid w:val="00973339"/>
    <w:rsid w:val="00976742"/>
    <w:rsid w:val="0098378F"/>
    <w:rsid w:val="00985217"/>
    <w:rsid w:val="009858AB"/>
    <w:rsid w:val="009940FC"/>
    <w:rsid w:val="00995F2D"/>
    <w:rsid w:val="00996095"/>
    <w:rsid w:val="009A03D1"/>
    <w:rsid w:val="009A1A11"/>
    <w:rsid w:val="009A39BC"/>
    <w:rsid w:val="009A4D90"/>
    <w:rsid w:val="009A5DAE"/>
    <w:rsid w:val="009A622A"/>
    <w:rsid w:val="009A7169"/>
    <w:rsid w:val="009A72D2"/>
    <w:rsid w:val="009B1F3D"/>
    <w:rsid w:val="009B2A75"/>
    <w:rsid w:val="009B35A6"/>
    <w:rsid w:val="009B5BD2"/>
    <w:rsid w:val="009B68BD"/>
    <w:rsid w:val="009C3982"/>
    <w:rsid w:val="009D0362"/>
    <w:rsid w:val="009D14FC"/>
    <w:rsid w:val="009D2C2C"/>
    <w:rsid w:val="009D324A"/>
    <w:rsid w:val="009D335E"/>
    <w:rsid w:val="009E0C4C"/>
    <w:rsid w:val="009E1153"/>
    <w:rsid w:val="009E158B"/>
    <w:rsid w:val="009E459C"/>
    <w:rsid w:val="009E4C18"/>
    <w:rsid w:val="009E5D2C"/>
    <w:rsid w:val="009E6063"/>
    <w:rsid w:val="009F2161"/>
    <w:rsid w:val="009F38A3"/>
    <w:rsid w:val="009F62F2"/>
    <w:rsid w:val="00A01356"/>
    <w:rsid w:val="00A017B5"/>
    <w:rsid w:val="00A0453E"/>
    <w:rsid w:val="00A04823"/>
    <w:rsid w:val="00A05690"/>
    <w:rsid w:val="00A05D1A"/>
    <w:rsid w:val="00A07D56"/>
    <w:rsid w:val="00A10AD4"/>
    <w:rsid w:val="00A10EF6"/>
    <w:rsid w:val="00A120DA"/>
    <w:rsid w:val="00A14A07"/>
    <w:rsid w:val="00A150E0"/>
    <w:rsid w:val="00A15A40"/>
    <w:rsid w:val="00A24955"/>
    <w:rsid w:val="00A24DD3"/>
    <w:rsid w:val="00A27660"/>
    <w:rsid w:val="00A27BF6"/>
    <w:rsid w:val="00A3302E"/>
    <w:rsid w:val="00A34AF5"/>
    <w:rsid w:val="00A35B21"/>
    <w:rsid w:val="00A4255B"/>
    <w:rsid w:val="00A45656"/>
    <w:rsid w:val="00A45705"/>
    <w:rsid w:val="00A45FCC"/>
    <w:rsid w:val="00A469DA"/>
    <w:rsid w:val="00A46AC9"/>
    <w:rsid w:val="00A51CCC"/>
    <w:rsid w:val="00A55655"/>
    <w:rsid w:val="00A5609A"/>
    <w:rsid w:val="00A619E9"/>
    <w:rsid w:val="00A63A1A"/>
    <w:rsid w:val="00A65F87"/>
    <w:rsid w:val="00A6696F"/>
    <w:rsid w:val="00A72189"/>
    <w:rsid w:val="00A73CFD"/>
    <w:rsid w:val="00A750F1"/>
    <w:rsid w:val="00A76D33"/>
    <w:rsid w:val="00A76F88"/>
    <w:rsid w:val="00A80D20"/>
    <w:rsid w:val="00A80FDE"/>
    <w:rsid w:val="00A81637"/>
    <w:rsid w:val="00A81952"/>
    <w:rsid w:val="00A822E1"/>
    <w:rsid w:val="00A835A5"/>
    <w:rsid w:val="00A842C2"/>
    <w:rsid w:val="00A846EA"/>
    <w:rsid w:val="00A84BE0"/>
    <w:rsid w:val="00A85BBC"/>
    <w:rsid w:val="00A86A29"/>
    <w:rsid w:val="00A90D05"/>
    <w:rsid w:val="00A91E6C"/>
    <w:rsid w:val="00A94A2A"/>
    <w:rsid w:val="00A94EB1"/>
    <w:rsid w:val="00AA00C4"/>
    <w:rsid w:val="00AA0C2D"/>
    <w:rsid w:val="00AA159C"/>
    <w:rsid w:val="00AA1B60"/>
    <w:rsid w:val="00AA2905"/>
    <w:rsid w:val="00AA592A"/>
    <w:rsid w:val="00AA661A"/>
    <w:rsid w:val="00AB1FC2"/>
    <w:rsid w:val="00AB4DA6"/>
    <w:rsid w:val="00AC2D4A"/>
    <w:rsid w:val="00AC4667"/>
    <w:rsid w:val="00AC5889"/>
    <w:rsid w:val="00AD29B9"/>
    <w:rsid w:val="00AD3BC6"/>
    <w:rsid w:val="00AD53D9"/>
    <w:rsid w:val="00AD5F0F"/>
    <w:rsid w:val="00AD7064"/>
    <w:rsid w:val="00AD7E1A"/>
    <w:rsid w:val="00AE0D15"/>
    <w:rsid w:val="00AE12A6"/>
    <w:rsid w:val="00AE4B45"/>
    <w:rsid w:val="00AE5E60"/>
    <w:rsid w:val="00AE775C"/>
    <w:rsid w:val="00AF1313"/>
    <w:rsid w:val="00AF3B3F"/>
    <w:rsid w:val="00AF5392"/>
    <w:rsid w:val="00AF7053"/>
    <w:rsid w:val="00B05B10"/>
    <w:rsid w:val="00B05DAD"/>
    <w:rsid w:val="00B07982"/>
    <w:rsid w:val="00B07AA9"/>
    <w:rsid w:val="00B12559"/>
    <w:rsid w:val="00B12A9B"/>
    <w:rsid w:val="00B1777C"/>
    <w:rsid w:val="00B24C55"/>
    <w:rsid w:val="00B263ED"/>
    <w:rsid w:val="00B30838"/>
    <w:rsid w:val="00B34ABB"/>
    <w:rsid w:val="00B34C5A"/>
    <w:rsid w:val="00B350A0"/>
    <w:rsid w:val="00B37D4E"/>
    <w:rsid w:val="00B43AD4"/>
    <w:rsid w:val="00B44A94"/>
    <w:rsid w:val="00B44C86"/>
    <w:rsid w:val="00B47864"/>
    <w:rsid w:val="00B533D9"/>
    <w:rsid w:val="00B53B2F"/>
    <w:rsid w:val="00B53F04"/>
    <w:rsid w:val="00B57290"/>
    <w:rsid w:val="00B57994"/>
    <w:rsid w:val="00B606A8"/>
    <w:rsid w:val="00B62906"/>
    <w:rsid w:val="00B6480B"/>
    <w:rsid w:val="00B6707A"/>
    <w:rsid w:val="00B708A6"/>
    <w:rsid w:val="00B71BE3"/>
    <w:rsid w:val="00B724CF"/>
    <w:rsid w:val="00B72551"/>
    <w:rsid w:val="00B73E1E"/>
    <w:rsid w:val="00B73E85"/>
    <w:rsid w:val="00B73F2B"/>
    <w:rsid w:val="00B75436"/>
    <w:rsid w:val="00B77A9A"/>
    <w:rsid w:val="00B77AA4"/>
    <w:rsid w:val="00B83C8C"/>
    <w:rsid w:val="00B8443F"/>
    <w:rsid w:val="00B85D52"/>
    <w:rsid w:val="00B90685"/>
    <w:rsid w:val="00B90B0E"/>
    <w:rsid w:val="00B93AE9"/>
    <w:rsid w:val="00B94B44"/>
    <w:rsid w:val="00B9595E"/>
    <w:rsid w:val="00B978BA"/>
    <w:rsid w:val="00B97BFE"/>
    <w:rsid w:val="00BA2651"/>
    <w:rsid w:val="00BA7FAA"/>
    <w:rsid w:val="00BA7FDA"/>
    <w:rsid w:val="00BB06F0"/>
    <w:rsid w:val="00BB22AF"/>
    <w:rsid w:val="00BB2D68"/>
    <w:rsid w:val="00BB32A2"/>
    <w:rsid w:val="00BB3B93"/>
    <w:rsid w:val="00BB4401"/>
    <w:rsid w:val="00BB5FCB"/>
    <w:rsid w:val="00BB60C4"/>
    <w:rsid w:val="00BB65D9"/>
    <w:rsid w:val="00BC117A"/>
    <w:rsid w:val="00BC24F0"/>
    <w:rsid w:val="00BC3071"/>
    <w:rsid w:val="00BC4D7A"/>
    <w:rsid w:val="00BC6276"/>
    <w:rsid w:val="00BC63B7"/>
    <w:rsid w:val="00BC766B"/>
    <w:rsid w:val="00BC7DEA"/>
    <w:rsid w:val="00BD2B33"/>
    <w:rsid w:val="00BD4D2E"/>
    <w:rsid w:val="00BE1B10"/>
    <w:rsid w:val="00BE1D82"/>
    <w:rsid w:val="00BE413F"/>
    <w:rsid w:val="00BE4D0A"/>
    <w:rsid w:val="00BE590D"/>
    <w:rsid w:val="00BE69AD"/>
    <w:rsid w:val="00BE76F4"/>
    <w:rsid w:val="00BF3047"/>
    <w:rsid w:val="00BF3134"/>
    <w:rsid w:val="00C0151B"/>
    <w:rsid w:val="00C02778"/>
    <w:rsid w:val="00C03172"/>
    <w:rsid w:val="00C03587"/>
    <w:rsid w:val="00C04BB5"/>
    <w:rsid w:val="00C07182"/>
    <w:rsid w:val="00C07B2A"/>
    <w:rsid w:val="00C07EC2"/>
    <w:rsid w:val="00C101A7"/>
    <w:rsid w:val="00C109DB"/>
    <w:rsid w:val="00C174B7"/>
    <w:rsid w:val="00C216B4"/>
    <w:rsid w:val="00C22898"/>
    <w:rsid w:val="00C22A29"/>
    <w:rsid w:val="00C22B47"/>
    <w:rsid w:val="00C24A04"/>
    <w:rsid w:val="00C253AB"/>
    <w:rsid w:val="00C25FB9"/>
    <w:rsid w:val="00C3343C"/>
    <w:rsid w:val="00C3507D"/>
    <w:rsid w:val="00C43E46"/>
    <w:rsid w:val="00C4624B"/>
    <w:rsid w:val="00C47509"/>
    <w:rsid w:val="00C47EE5"/>
    <w:rsid w:val="00C559FB"/>
    <w:rsid w:val="00C57F26"/>
    <w:rsid w:val="00C61BF2"/>
    <w:rsid w:val="00C61D82"/>
    <w:rsid w:val="00C654E8"/>
    <w:rsid w:val="00C72045"/>
    <w:rsid w:val="00C74AF9"/>
    <w:rsid w:val="00C74C81"/>
    <w:rsid w:val="00C75D15"/>
    <w:rsid w:val="00C761A6"/>
    <w:rsid w:val="00C7704E"/>
    <w:rsid w:val="00C83765"/>
    <w:rsid w:val="00C83C3C"/>
    <w:rsid w:val="00C83EB4"/>
    <w:rsid w:val="00C85906"/>
    <w:rsid w:val="00C8676F"/>
    <w:rsid w:val="00C8740E"/>
    <w:rsid w:val="00C8772F"/>
    <w:rsid w:val="00C90E5E"/>
    <w:rsid w:val="00C911ED"/>
    <w:rsid w:val="00CA1053"/>
    <w:rsid w:val="00CA3834"/>
    <w:rsid w:val="00CA6A2B"/>
    <w:rsid w:val="00CA7DD7"/>
    <w:rsid w:val="00CB2714"/>
    <w:rsid w:val="00CB4599"/>
    <w:rsid w:val="00CB7766"/>
    <w:rsid w:val="00CC0122"/>
    <w:rsid w:val="00CC7129"/>
    <w:rsid w:val="00CC7C76"/>
    <w:rsid w:val="00CD0203"/>
    <w:rsid w:val="00CD29CF"/>
    <w:rsid w:val="00CD4503"/>
    <w:rsid w:val="00CD7102"/>
    <w:rsid w:val="00CE065B"/>
    <w:rsid w:val="00CE4BF9"/>
    <w:rsid w:val="00CE68B2"/>
    <w:rsid w:val="00CE7157"/>
    <w:rsid w:val="00CF4A7E"/>
    <w:rsid w:val="00D07C53"/>
    <w:rsid w:val="00D1195B"/>
    <w:rsid w:val="00D11A42"/>
    <w:rsid w:val="00D1284B"/>
    <w:rsid w:val="00D15654"/>
    <w:rsid w:val="00D164B4"/>
    <w:rsid w:val="00D17FFD"/>
    <w:rsid w:val="00D2140E"/>
    <w:rsid w:val="00D225B1"/>
    <w:rsid w:val="00D23FF2"/>
    <w:rsid w:val="00D274B7"/>
    <w:rsid w:val="00D32348"/>
    <w:rsid w:val="00D32C8C"/>
    <w:rsid w:val="00D36223"/>
    <w:rsid w:val="00D40850"/>
    <w:rsid w:val="00D4392E"/>
    <w:rsid w:val="00D45A92"/>
    <w:rsid w:val="00D46024"/>
    <w:rsid w:val="00D47E6A"/>
    <w:rsid w:val="00D5389E"/>
    <w:rsid w:val="00D54961"/>
    <w:rsid w:val="00D5512A"/>
    <w:rsid w:val="00D65228"/>
    <w:rsid w:val="00D667E2"/>
    <w:rsid w:val="00D6723F"/>
    <w:rsid w:val="00D6736E"/>
    <w:rsid w:val="00D70C49"/>
    <w:rsid w:val="00D714C4"/>
    <w:rsid w:val="00D72CE0"/>
    <w:rsid w:val="00D73652"/>
    <w:rsid w:val="00D75981"/>
    <w:rsid w:val="00D77203"/>
    <w:rsid w:val="00D8182F"/>
    <w:rsid w:val="00D82582"/>
    <w:rsid w:val="00D83225"/>
    <w:rsid w:val="00D85C19"/>
    <w:rsid w:val="00D86CBE"/>
    <w:rsid w:val="00D909CC"/>
    <w:rsid w:val="00D91A14"/>
    <w:rsid w:val="00D95022"/>
    <w:rsid w:val="00D9643C"/>
    <w:rsid w:val="00DA28DB"/>
    <w:rsid w:val="00DA2A7E"/>
    <w:rsid w:val="00DA2B5D"/>
    <w:rsid w:val="00DA2DFA"/>
    <w:rsid w:val="00DA37E4"/>
    <w:rsid w:val="00DB1E89"/>
    <w:rsid w:val="00DB4C85"/>
    <w:rsid w:val="00DB5309"/>
    <w:rsid w:val="00DB5B52"/>
    <w:rsid w:val="00DC1576"/>
    <w:rsid w:val="00DC4B84"/>
    <w:rsid w:val="00DC5213"/>
    <w:rsid w:val="00DC5678"/>
    <w:rsid w:val="00DC75AB"/>
    <w:rsid w:val="00DD23ED"/>
    <w:rsid w:val="00DD4ECB"/>
    <w:rsid w:val="00DD5E45"/>
    <w:rsid w:val="00DD6678"/>
    <w:rsid w:val="00DD76C1"/>
    <w:rsid w:val="00DD791B"/>
    <w:rsid w:val="00DE23DE"/>
    <w:rsid w:val="00DE34F6"/>
    <w:rsid w:val="00DE4B5A"/>
    <w:rsid w:val="00DE7C3D"/>
    <w:rsid w:val="00DF39B6"/>
    <w:rsid w:val="00DF432C"/>
    <w:rsid w:val="00DF7545"/>
    <w:rsid w:val="00DF7CFE"/>
    <w:rsid w:val="00E04816"/>
    <w:rsid w:val="00E04FB2"/>
    <w:rsid w:val="00E0701A"/>
    <w:rsid w:val="00E07341"/>
    <w:rsid w:val="00E13103"/>
    <w:rsid w:val="00E14175"/>
    <w:rsid w:val="00E20EC4"/>
    <w:rsid w:val="00E212DC"/>
    <w:rsid w:val="00E22EA3"/>
    <w:rsid w:val="00E242F4"/>
    <w:rsid w:val="00E264BF"/>
    <w:rsid w:val="00E26DA4"/>
    <w:rsid w:val="00E27DD1"/>
    <w:rsid w:val="00E37B7C"/>
    <w:rsid w:val="00E41077"/>
    <w:rsid w:val="00E42184"/>
    <w:rsid w:val="00E47015"/>
    <w:rsid w:val="00E47522"/>
    <w:rsid w:val="00E4766C"/>
    <w:rsid w:val="00E51E1D"/>
    <w:rsid w:val="00E53984"/>
    <w:rsid w:val="00E54848"/>
    <w:rsid w:val="00E57CCC"/>
    <w:rsid w:val="00E667E2"/>
    <w:rsid w:val="00E67417"/>
    <w:rsid w:val="00E679EF"/>
    <w:rsid w:val="00E71F2B"/>
    <w:rsid w:val="00E737C3"/>
    <w:rsid w:val="00E74E63"/>
    <w:rsid w:val="00E779C3"/>
    <w:rsid w:val="00E803C2"/>
    <w:rsid w:val="00E82CBD"/>
    <w:rsid w:val="00E8462F"/>
    <w:rsid w:val="00E9068E"/>
    <w:rsid w:val="00E95029"/>
    <w:rsid w:val="00EA007D"/>
    <w:rsid w:val="00EA0E24"/>
    <w:rsid w:val="00EA298F"/>
    <w:rsid w:val="00EA4478"/>
    <w:rsid w:val="00EA53F9"/>
    <w:rsid w:val="00EA7301"/>
    <w:rsid w:val="00EB1784"/>
    <w:rsid w:val="00EB4376"/>
    <w:rsid w:val="00EB738E"/>
    <w:rsid w:val="00EC2E8F"/>
    <w:rsid w:val="00EC376A"/>
    <w:rsid w:val="00EC3D9F"/>
    <w:rsid w:val="00EC7930"/>
    <w:rsid w:val="00ED125F"/>
    <w:rsid w:val="00ED1D17"/>
    <w:rsid w:val="00ED3A3D"/>
    <w:rsid w:val="00ED7C6A"/>
    <w:rsid w:val="00EE1AE8"/>
    <w:rsid w:val="00EE4AF1"/>
    <w:rsid w:val="00EF010C"/>
    <w:rsid w:val="00EF217D"/>
    <w:rsid w:val="00EF3E03"/>
    <w:rsid w:val="00F02643"/>
    <w:rsid w:val="00F02EB5"/>
    <w:rsid w:val="00F0387F"/>
    <w:rsid w:val="00F1268D"/>
    <w:rsid w:val="00F165DD"/>
    <w:rsid w:val="00F171C3"/>
    <w:rsid w:val="00F1775C"/>
    <w:rsid w:val="00F20190"/>
    <w:rsid w:val="00F247F1"/>
    <w:rsid w:val="00F25E57"/>
    <w:rsid w:val="00F268BC"/>
    <w:rsid w:val="00F279FC"/>
    <w:rsid w:val="00F313A6"/>
    <w:rsid w:val="00F32227"/>
    <w:rsid w:val="00F33547"/>
    <w:rsid w:val="00F33807"/>
    <w:rsid w:val="00F33E1F"/>
    <w:rsid w:val="00F36A68"/>
    <w:rsid w:val="00F36F0D"/>
    <w:rsid w:val="00F377B7"/>
    <w:rsid w:val="00F42180"/>
    <w:rsid w:val="00F42B79"/>
    <w:rsid w:val="00F43393"/>
    <w:rsid w:val="00F44B4B"/>
    <w:rsid w:val="00F45C8E"/>
    <w:rsid w:val="00F5087B"/>
    <w:rsid w:val="00F5575E"/>
    <w:rsid w:val="00F55E96"/>
    <w:rsid w:val="00F55EB3"/>
    <w:rsid w:val="00F57F4B"/>
    <w:rsid w:val="00F62DE3"/>
    <w:rsid w:val="00F631F2"/>
    <w:rsid w:val="00F63913"/>
    <w:rsid w:val="00F660C3"/>
    <w:rsid w:val="00F70C65"/>
    <w:rsid w:val="00F71DAC"/>
    <w:rsid w:val="00F81FED"/>
    <w:rsid w:val="00F820F2"/>
    <w:rsid w:val="00F82F78"/>
    <w:rsid w:val="00F8306B"/>
    <w:rsid w:val="00F865D5"/>
    <w:rsid w:val="00F87031"/>
    <w:rsid w:val="00F90322"/>
    <w:rsid w:val="00F90A38"/>
    <w:rsid w:val="00F91114"/>
    <w:rsid w:val="00F937ED"/>
    <w:rsid w:val="00F93BA6"/>
    <w:rsid w:val="00F94256"/>
    <w:rsid w:val="00F96694"/>
    <w:rsid w:val="00F97A3B"/>
    <w:rsid w:val="00FA0006"/>
    <w:rsid w:val="00FA4F24"/>
    <w:rsid w:val="00FA5178"/>
    <w:rsid w:val="00FA56C6"/>
    <w:rsid w:val="00FA5E7C"/>
    <w:rsid w:val="00FA6AFF"/>
    <w:rsid w:val="00FA70BB"/>
    <w:rsid w:val="00FB02F5"/>
    <w:rsid w:val="00FB1D16"/>
    <w:rsid w:val="00FB24A2"/>
    <w:rsid w:val="00FB3BD9"/>
    <w:rsid w:val="00FC4F64"/>
    <w:rsid w:val="00FD12C3"/>
    <w:rsid w:val="00FD3045"/>
    <w:rsid w:val="00FD717F"/>
    <w:rsid w:val="00FE109C"/>
    <w:rsid w:val="00FE1430"/>
    <w:rsid w:val="00FE46F4"/>
    <w:rsid w:val="00FF0106"/>
    <w:rsid w:val="00FF2478"/>
    <w:rsid w:val="00FF3619"/>
    <w:rsid w:val="00FF3F63"/>
    <w:rsid w:val="00FF4522"/>
    <w:rsid w:val="00FF4852"/>
    <w:rsid w:val="00FF53CB"/>
    <w:rsid w:val="00FF545D"/>
    <w:rsid w:val="00FF5A43"/>
    <w:rsid w:val="00FF5C51"/>
    <w:rsid w:val="00FF5CF7"/>
    <w:rsid w:val="00FF63DE"/>
    <w:rsid w:val="00FF6E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368837E3-DBD7-4D21-9F85-32F9B15A5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qFormat/>
    <w:rsid w:val="00DD791B"/>
    <w:pPr>
      <w:keepNext/>
      <w:spacing w:after="0" w:line="360" w:lineRule="auto"/>
      <w:jc w:val="center"/>
      <w:outlineLvl w:val="0"/>
    </w:pPr>
    <w:rPr>
      <w:rFonts w:ascii="Times New Roman" w:eastAsia="Times New Roman" w:hAnsi="Times New Roman"/>
      <w:i/>
      <w:sz w:val="30"/>
      <w:szCs w:val="20"/>
      <w:lang w:val="x-none" w:eastAsia="x-none"/>
    </w:rPr>
  </w:style>
  <w:style w:type="paragraph" w:styleId="Ttulo2">
    <w:name w:val="heading 2"/>
    <w:basedOn w:val="Normal"/>
    <w:next w:val="Normal"/>
    <w:link w:val="Ttulo2Car"/>
    <w:qFormat/>
    <w:rsid w:val="00DD791B"/>
    <w:pPr>
      <w:keepNext/>
      <w:spacing w:after="0" w:line="360" w:lineRule="auto"/>
      <w:jc w:val="center"/>
      <w:outlineLvl w:val="1"/>
    </w:pPr>
    <w:rPr>
      <w:rFonts w:ascii="Times New Roman" w:eastAsia="Times New Roman" w:hAnsi="Times New Roman"/>
      <w:b/>
      <w:i/>
      <w:sz w:val="30"/>
      <w:szCs w:val="20"/>
      <w:lang w:val="x-none" w:eastAsia="x-none"/>
    </w:rPr>
  </w:style>
  <w:style w:type="paragraph" w:styleId="Ttulo4">
    <w:name w:val="heading 4"/>
    <w:basedOn w:val="Normal"/>
    <w:next w:val="Normal"/>
    <w:qFormat/>
    <w:rsid w:val="0088214D"/>
    <w:pPr>
      <w:keepNext/>
      <w:overflowPunct w:val="0"/>
      <w:autoSpaceDE w:val="0"/>
      <w:autoSpaceDN w:val="0"/>
      <w:adjustRightInd w:val="0"/>
      <w:spacing w:before="240" w:after="60" w:line="240" w:lineRule="auto"/>
      <w:textAlignment w:val="baseline"/>
      <w:outlineLvl w:val="3"/>
    </w:pPr>
    <w:rPr>
      <w:rFonts w:eastAsia="Times New Roman"/>
      <w:b/>
      <w:bCs/>
      <w:spacing w:val="-3"/>
      <w:sz w:val="28"/>
      <w:szCs w:val="2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DD791B"/>
    <w:rPr>
      <w:rFonts w:ascii="Times New Roman" w:eastAsia="Times New Roman" w:hAnsi="Times New Roman"/>
      <w:i/>
      <w:sz w:val="30"/>
      <w:lang w:val="x-none" w:eastAsia="x-none"/>
    </w:rPr>
  </w:style>
  <w:style w:type="character" w:customStyle="1" w:styleId="Ttulo2Car">
    <w:name w:val="Título 2 Car"/>
    <w:link w:val="Ttulo2"/>
    <w:rsid w:val="00DD791B"/>
    <w:rPr>
      <w:rFonts w:ascii="Times New Roman" w:eastAsia="Times New Roman" w:hAnsi="Times New Roman"/>
      <w:b/>
      <w:i/>
      <w:sz w:val="30"/>
      <w:lang w:val="x-none" w:eastAsia="x-none"/>
    </w:rPr>
  </w:style>
  <w:style w:type="paragraph" w:customStyle="1" w:styleId="Ttulo">
    <w:name w:val="Título"/>
    <w:basedOn w:val="Normal"/>
    <w:link w:val="TtuloCar"/>
    <w:qFormat/>
    <w:rsid w:val="00DD791B"/>
    <w:pPr>
      <w:spacing w:after="0" w:line="360" w:lineRule="auto"/>
      <w:jc w:val="center"/>
    </w:pPr>
    <w:rPr>
      <w:rFonts w:ascii="Times New Roman" w:eastAsia="Times New Roman" w:hAnsi="Times New Roman"/>
      <w:b/>
      <w:i/>
      <w:sz w:val="30"/>
      <w:szCs w:val="20"/>
      <w:lang w:val="x-none" w:eastAsia="x-none"/>
    </w:rPr>
  </w:style>
  <w:style w:type="character" w:customStyle="1" w:styleId="TtuloCar">
    <w:name w:val="Título Car"/>
    <w:link w:val="Ttulo"/>
    <w:rsid w:val="00DD791B"/>
    <w:rPr>
      <w:rFonts w:ascii="Times New Roman" w:eastAsia="Times New Roman" w:hAnsi="Times New Roman"/>
      <w:b/>
      <w:i/>
      <w:sz w:val="30"/>
      <w:lang w:val="x-none" w:eastAsia="x-none"/>
    </w:rPr>
  </w:style>
  <w:style w:type="paragraph" w:styleId="Textoindependiente">
    <w:name w:val="Body Text"/>
    <w:basedOn w:val="Normal"/>
    <w:link w:val="TextoindependienteCar"/>
    <w:rsid w:val="00DD791B"/>
    <w:pPr>
      <w:spacing w:after="0" w:line="360" w:lineRule="auto"/>
      <w:jc w:val="both"/>
    </w:pPr>
    <w:rPr>
      <w:rFonts w:ascii="Times New Roman" w:eastAsia="Times New Roman" w:hAnsi="Times New Roman"/>
      <w:i/>
      <w:sz w:val="30"/>
      <w:szCs w:val="20"/>
      <w:lang w:val="x-none" w:eastAsia="x-none"/>
    </w:rPr>
  </w:style>
  <w:style w:type="character" w:customStyle="1" w:styleId="TextoindependienteCar">
    <w:name w:val="Texto independiente Car"/>
    <w:link w:val="Textoindependiente"/>
    <w:rsid w:val="00DD791B"/>
    <w:rPr>
      <w:rFonts w:ascii="Times New Roman" w:eastAsia="Times New Roman" w:hAnsi="Times New Roman"/>
      <w:i/>
      <w:sz w:val="30"/>
      <w:lang w:val="x-none" w:eastAsia="x-none"/>
    </w:rPr>
  </w:style>
  <w:style w:type="paragraph" w:styleId="Textonotapie">
    <w:name w:val="footnote text"/>
    <w:aliases w:val="Footnote Text Char Char Char Char Char,Footnote Text Char Char Char Char,Footnote reference,FA Fu,Footnote Text Char Char Char,Footnote Text Char Char Char Car Car Car,texto de nota al p,texto de nota al pie,Footnote Text Char,Footnote Te"/>
    <w:basedOn w:val="Normal"/>
    <w:link w:val="TextonotapieCar"/>
    <w:qFormat/>
    <w:rsid w:val="00DD791B"/>
    <w:pPr>
      <w:spacing w:after="0" w:line="240" w:lineRule="auto"/>
    </w:pPr>
    <w:rPr>
      <w:rFonts w:ascii="Arial" w:eastAsia="Times New Roman" w:hAnsi="Arial"/>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r Char Char Car,Footnote Text Char Char Char Car Car Car Car,texto de nota al p Car,Footnote Te Car"/>
    <w:link w:val="Textonotapie"/>
    <w:rsid w:val="00DD791B"/>
    <w:rPr>
      <w:rFonts w:ascii="Arial" w:eastAsia="Times New Roman" w:hAnsi="Arial"/>
      <w:lang w:val="es-ES" w:eastAsia="es-ES"/>
    </w:rPr>
  </w:style>
  <w:style w:type="character" w:styleId="Refdenotaalpie">
    <w:name w:val="footnote reference"/>
    <w:aliases w:val="Texto de nota al pie,referencia nota al pie,Appel note de bas de page,Footnotes refss,Ref. de nota al pie 2,Ref,de nota al pie,texto de nota al pi Car,Footnotes refs,FC,BVI fnr,Footnote symbol,Footnote,Ref. de nota al pie2"/>
    <w:qFormat/>
    <w:rsid w:val="00DD791B"/>
    <w:rPr>
      <w:vertAlign w:val="superscript"/>
    </w:rPr>
  </w:style>
  <w:style w:type="paragraph" w:styleId="Encabezado">
    <w:name w:val="header"/>
    <w:basedOn w:val="Normal"/>
    <w:link w:val="EncabezadoCar"/>
    <w:rsid w:val="0088214D"/>
    <w:pPr>
      <w:tabs>
        <w:tab w:val="center" w:pos="4252"/>
        <w:tab w:val="right" w:pos="8504"/>
      </w:tabs>
    </w:pPr>
  </w:style>
  <w:style w:type="paragraph" w:styleId="Piedepgina">
    <w:name w:val="footer"/>
    <w:basedOn w:val="Normal"/>
    <w:rsid w:val="0088214D"/>
    <w:pPr>
      <w:tabs>
        <w:tab w:val="center" w:pos="4252"/>
        <w:tab w:val="right" w:pos="8504"/>
      </w:tabs>
    </w:pPr>
  </w:style>
  <w:style w:type="paragraph" w:customStyle="1" w:styleId="Epgrafe">
    <w:name w:val="Epígrafe"/>
    <w:basedOn w:val="Normal"/>
    <w:next w:val="Normal"/>
    <w:qFormat/>
    <w:rsid w:val="0088214D"/>
    <w:pPr>
      <w:overflowPunct w:val="0"/>
      <w:autoSpaceDE w:val="0"/>
      <w:autoSpaceDN w:val="0"/>
      <w:adjustRightInd w:val="0"/>
      <w:spacing w:after="0" w:line="240" w:lineRule="auto"/>
      <w:ind w:left="-851"/>
    </w:pPr>
    <w:rPr>
      <w:rFonts w:ascii="Arial" w:eastAsia="Times New Roman" w:hAnsi="Arial"/>
      <w:b/>
      <w:sz w:val="18"/>
      <w:szCs w:val="20"/>
      <w:lang w:val="es-ES_tradnl" w:eastAsia="es-ES"/>
    </w:rPr>
  </w:style>
  <w:style w:type="character" w:styleId="Nmerodepgina">
    <w:name w:val="page number"/>
    <w:basedOn w:val="Fuentedeprrafopredeter"/>
    <w:rsid w:val="0088214D"/>
  </w:style>
  <w:style w:type="paragraph" w:styleId="Sangradetextonormal">
    <w:name w:val="Body Text Indent"/>
    <w:basedOn w:val="Normal"/>
    <w:rsid w:val="00BD2B33"/>
    <w:pPr>
      <w:spacing w:after="120"/>
      <w:ind w:left="283"/>
    </w:pPr>
  </w:style>
  <w:style w:type="paragraph" w:styleId="Subttulo">
    <w:name w:val="Subtitle"/>
    <w:basedOn w:val="Normal"/>
    <w:qFormat/>
    <w:rsid w:val="00BD2B33"/>
    <w:pPr>
      <w:spacing w:after="60"/>
      <w:jc w:val="center"/>
      <w:outlineLvl w:val="1"/>
    </w:pPr>
    <w:rPr>
      <w:rFonts w:ascii="Arial" w:hAnsi="Arial" w:cs="Arial"/>
      <w:sz w:val="24"/>
      <w:szCs w:val="24"/>
    </w:rPr>
  </w:style>
  <w:style w:type="paragraph" w:styleId="Textoindependienteprimerasangra">
    <w:name w:val="Body Text First Indent"/>
    <w:basedOn w:val="Textoindependiente"/>
    <w:rsid w:val="00BD2B33"/>
    <w:pPr>
      <w:spacing w:after="120" w:line="276" w:lineRule="auto"/>
      <w:ind w:firstLine="210"/>
      <w:jc w:val="left"/>
    </w:pPr>
    <w:rPr>
      <w:rFonts w:ascii="Calibri" w:eastAsia="Calibri" w:hAnsi="Calibri"/>
      <w:i w:val="0"/>
      <w:sz w:val="22"/>
      <w:szCs w:val="22"/>
      <w:lang w:val="es-CO" w:eastAsia="en-US"/>
    </w:rPr>
  </w:style>
  <w:style w:type="paragraph" w:styleId="Textoindependienteprimerasangra2">
    <w:name w:val="Body Text First Indent 2"/>
    <w:basedOn w:val="Sangradetextonormal"/>
    <w:rsid w:val="00BD2B33"/>
    <w:pPr>
      <w:ind w:firstLine="210"/>
    </w:pPr>
  </w:style>
  <w:style w:type="paragraph" w:styleId="Textodeglobo">
    <w:name w:val="Balloon Text"/>
    <w:basedOn w:val="Normal"/>
    <w:semiHidden/>
    <w:rsid w:val="00D85C19"/>
    <w:rPr>
      <w:rFonts w:ascii="Tahoma" w:hAnsi="Tahoma" w:cs="Tahoma"/>
      <w:sz w:val="16"/>
      <w:szCs w:val="16"/>
    </w:rPr>
  </w:style>
  <w:style w:type="paragraph" w:styleId="Lista2">
    <w:name w:val="List 2"/>
    <w:basedOn w:val="Normal"/>
    <w:uiPriority w:val="99"/>
    <w:unhideWhenUsed/>
    <w:rsid w:val="00324E59"/>
    <w:pPr>
      <w:ind w:left="566" w:hanging="283"/>
      <w:contextualSpacing/>
    </w:pPr>
  </w:style>
  <w:style w:type="paragraph" w:styleId="Saludo">
    <w:name w:val="Salutation"/>
    <w:basedOn w:val="Normal"/>
    <w:next w:val="Normal"/>
    <w:link w:val="SaludoCar"/>
    <w:uiPriority w:val="99"/>
    <w:unhideWhenUsed/>
    <w:rsid w:val="00324E59"/>
  </w:style>
  <w:style w:type="character" w:customStyle="1" w:styleId="SaludoCar">
    <w:name w:val="Saludo Car"/>
    <w:link w:val="Saludo"/>
    <w:uiPriority w:val="99"/>
    <w:rsid w:val="00324E59"/>
    <w:rPr>
      <w:sz w:val="22"/>
      <w:szCs w:val="22"/>
      <w:lang w:eastAsia="en-US"/>
    </w:rPr>
  </w:style>
  <w:style w:type="character" w:styleId="Hipervnculo">
    <w:name w:val="Hyperlink"/>
    <w:uiPriority w:val="99"/>
    <w:unhideWhenUsed/>
    <w:rsid w:val="00F171C3"/>
    <w:rPr>
      <w:color w:val="0000FF"/>
      <w:u w:val="single"/>
    </w:rPr>
  </w:style>
  <w:style w:type="paragraph" w:styleId="Prrafodelista">
    <w:name w:val="List Paragraph"/>
    <w:basedOn w:val="Normal"/>
    <w:uiPriority w:val="34"/>
    <w:qFormat/>
    <w:rsid w:val="0007448A"/>
    <w:pPr>
      <w:ind w:left="720"/>
      <w:contextualSpacing/>
    </w:pPr>
  </w:style>
  <w:style w:type="paragraph" w:styleId="NormalWeb">
    <w:name w:val="Normal (Web)"/>
    <w:basedOn w:val="Normal"/>
    <w:uiPriority w:val="99"/>
    <w:unhideWhenUsed/>
    <w:rsid w:val="00FB24A2"/>
    <w:pPr>
      <w:spacing w:before="100" w:beforeAutospacing="1" w:after="100" w:afterAutospacing="1" w:line="240" w:lineRule="auto"/>
    </w:pPr>
    <w:rPr>
      <w:rFonts w:ascii="Times New Roman" w:eastAsia="Times New Roman" w:hAnsi="Times New Roman"/>
      <w:sz w:val="24"/>
      <w:szCs w:val="24"/>
      <w:lang w:eastAsia="es-CO"/>
    </w:rPr>
  </w:style>
  <w:style w:type="paragraph" w:styleId="Puesto">
    <w:name w:val="Title"/>
    <w:basedOn w:val="Normal"/>
    <w:next w:val="Normal"/>
    <w:link w:val="PuestoCar"/>
    <w:qFormat/>
    <w:rsid w:val="00DC5678"/>
    <w:pPr>
      <w:spacing w:after="0" w:line="240" w:lineRule="auto"/>
      <w:contextualSpacing/>
    </w:pPr>
    <w:rPr>
      <w:rFonts w:asciiTheme="majorHAnsi" w:eastAsiaTheme="majorEastAsia" w:hAnsiTheme="majorHAnsi" w:cstheme="majorBidi"/>
      <w:spacing w:val="-10"/>
      <w:kern w:val="28"/>
      <w:sz w:val="56"/>
      <w:szCs w:val="56"/>
      <w:lang w:val="es-ES" w:eastAsia="es-ES"/>
    </w:rPr>
  </w:style>
  <w:style w:type="character" w:customStyle="1" w:styleId="PuestoCar">
    <w:name w:val="Puesto Car"/>
    <w:basedOn w:val="Fuentedeprrafopredeter"/>
    <w:link w:val="Puesto"/>
    <w:rsid w:val="00DC5678"/>
    <w:rPr>
      <w:rFonts w:asciiTheme="majorHAnsi" w:eastAsiaTheme="majorEastAsia" w:hAnsiTheme="majorHAnsi" w:cstheme="majorBidi"/>
      <w:spacing w:val="-10"/>
      <w:kern w:val="28"/>
      <w:sz w:val="56"/>
      <w:szCs w:val="56"/>
      <w:lang w:val="es-ES" w:eastAsia="es-ES"/>
    </w:rPr>
  </w:style>
  <w:style w:type="paragraph" w:customStyle="1" w:styleId="Textoindependiente22">
    <w:name w:val="Texto independiente 22"/>
    <w:basedOn w:val="Normal"/>
    <w:rsid w:val="00DC5678"/>
    <w:pPr>
      <w:spacing w:after="0" w:line="360" w:lineRule="auto"/>
      <w:jc w:val="both"/>
    </w:pPr>
    <w:rPr>
      <w:rFonts w:ascii="Times New Roman" w:eastAsia="Times New Roman" w:hAnsi="Times New Roman"/>
      <w:sz w:val="28"/>
      <w:szCs w:val="20"/>
      <w:lang w:val="es-ES_tradnl" w:eastAsia="es-CO"/>
    </w:rPr>
  </w:style>
  <w:style w:type="paragraph" w:customStyle="1" w:styleId="f100">
    <w:name w:val="f100"/>
    <w:basedOn w:val="Normal"/>
    <w:rsid w:val="00936591"/>
    <w:pPr>
      <w:spacing w:after="0" w:line="240" w:lineRule="auto"/>
    </w:pPr>
    <w:rPr>
      <w:rFonts w:ascii="Arial" w:eastAsia="Times New Roman" w:hAnsi="Arial" w:cs="Arial"/>
      <w:sz w:val="24"/>
      <w:szCs w:val="24"/>
      <w:lang w:eastAsia="es-CO"/>
    </w:rPr>
  </w:style>
  <w:style w:type="paragraph" w:customStyle="1" w:styleId="f210">
    <w:name w:val="f210"/>
    <w:basedOn w:val="Normal"/>
    <w:rsid w:val="00936591"/>
    <w:pPr>
      <w:spacing w:after="0" w:line="240" w:lineRule="auto"/>
    </w:pPr>
    <w:rPr>
      <w:rFonts w:ascii="Arial" w:eastAsia="Times New Roman" w:hAnsi="Arial" w:cs="Arial"/>
      <w:i/>
      <w:iCs/>
      <w:sz w:val="24"/>
      <w:szCs w:val="24"/>
      <w:lang w:eastAsia="es-CO"/>
    </w:rPr>
  </w:style>
  <w:style w:type="character" w:customStyle="1" w:styleId="f0001">
    <w:name w:val="f0001"/>
    <w:basedOn w:val="Fuentedeprrafopredeter"/>
    <w:rsid w:val="00936591"/>
    <w:rPr>
      <w:rFonts w:ascii="Times New Roman" w:hAnsi="Times New Roman" w:cs="Times New Roman" w:hint="default"/>
      <w:b w:val="0"/>
      <w:bCs w:val="0"/>
      <w:i w:val="0"/>
      <w:iCs w:val="0"/>
    </w:rPr>
  </w:style>
  <w:style w:type="character" w:customStyle="1" w:styleId="f3011">
    <w:name w:val="f3011"/>
    <w:basedOn w:val="Fuentedeprrafopredeter"/>
    <w:rsid w:val="00936591"/>
    <w:rPr>
      <w:rFonts w:ascii="Arial" w:hAnsi="Arial" w:cs="Arial" w:hint="default"/>
      <w:b/>
      <w:bCs/>
      <w:i w:val="0"/>
      <w:iCs w:val="0"/>
    </w:rPr>
  </w:style>
  <w:style w:type="paragraph" w:customStyle="1" w:styleId="f001">
    <w:name w:val="f001"/>
    <w:basedOn w:val="Normal"/>
    <w:rsid w:val="00936591"/>
    <w:pPr>
      <w:spacing w:after="0" w:line="240" w:lineRule="auto"/>
    </w:pPr>
    <w:rPr>
      <w:rFonts w:ascii="Arial" w:eastAsia="Times New Roman" w:hAnsi="Arial" w:cs="Arial"/>
      <w:b/>
      <w:bCs/>
      <w:sz w:val="24"/>
      <w:szCs w:val="24"/>
      <w:lang w:eastAsia="es-CO"/>
    </w:rPr>
  </w:style>
  <w:style w:type="character" w:customStyle="1" w:styleId="EncabezadoCar">
    <w:name w:val="Encabezado Car"/>
    <w:link w:val="Encabezado"/>
    <w:rsid w:val="007C00E1"/>
    <w:rPr>
      <w:sz w:val="22"/>
      <w:szCs w:val="22"/>
      <w:lang w:eastAsia="en-US"/>
    </w:rPr>
  </w:style>
  <w:style w:type="paragraph" w:customStyle="1" w:styleId="BodyText31">
    <w:name w:val="Body Text 31"/>
    <w:basedOn w:val="Normal"/>
    <w:rsid w:val="007C00E1"/>
    <w:pPr>
      <w:overflowPunct w:val="0"/>
      <w:autoSpaceDE w:val="0"/>
      <w:autoSpaceDN w:val="0"/>
      <w:adjustRightInd w:val="0"/>
      <w:spacing w:after="0" w:line="240" w:lineRule="auto"/>
      <w:jc w:val="both"/>
      <w:textAlignment w:val="baseline"/>
    </w:pPr>
    <w:rPr>
      <w:rFonts w:ascii="Times New Roman" w:eastAsia="Times New Roman" w:hAnsi="Times New Roman"/>
      <w:sz w:val="28"/>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9939">
      <w:bodyDiv w:val="1"/>
      <w:marLeft w:val="0"/>
      <w:marRight w:val="0"/>
      <w:marTop w:val="0"/>
      <w:marBottom w:val="0"/>
      <w:divBdr>
        <w:top w:val="none" w:sz="0" w:space="0" w:color="auto"/>
        <w:left w:val="none" w:sz="0" w:space="0" w:color="auto"/>
        <w:bottom w:val="none" w:sz="0" w:space="0" w:color="auto"/>
        <w:right w:val="none" w:sz="0" w:space="0" w:color="auto"/>
      </w:divBdr>
    </w:div>
    <w:div w:id="247733236">
      <w:bodyDiv w:val="1"/>
      <w:marLeft w:val="0"/>
      <w:marRight w:val="0"/>
      <w:marTop w:val="0"/>
      <w:marBottom w:val="0"/>
      <w:divBdr>
        <w:top w:val="none" w:sz="0" w:space="0" w:color="auto"/>
        <w:left w:val="none" w:sz="0" w:space="0" w:color="auto"/>
        <w:bottom w:val="none" w:sz="0" w:space="0" w:color="auto"/>
        <w:right w:val="none" w:sz="0" w:space="0" w:color="auto"/>
      </w:divBdr>
    </w:div>
    <w:div w:id="332075575">
      <w:bodyDiv w:val="1"/>
      <w:marLeft w:val="100"/>
      <w:marRight w:val="100"/>
      <w:marTop w:val="100"/>
      <w:marBottom w:val="100"/>
      <w:divBdr>
        <w:top w:val="none" w:sz="0" w:space="0" w:color="auto"/>
        <w:left w:val="none" w:sz="0" w:space="0" w:color="auto"/>
        <w:bottom w:val="none" w:sz="0" w:space="0" w:color="auto"/>
        <w:right w:val="none" w:sz="0" w:space="0" w:color="auto"/>
      </w:divBdr>
      <w:divsChild>
        <w:div w:id="388572482">
          <w:marLeft w:val="0"/>
          <w:marRight w:val="0"/>
          <w:marTop w:val="0"/>
          <w:marBottom w:val="0"/>
          <w:divBdr>
            <w:top w:val="none" w:sz="0" w:space="0" w:color="auto"/>
            <w:left w:val="none" w:sz="0" w:space="0" w:color="auto"/>
            <w:bottom w:val="none" w:sz="0" w:space="0" w:color="auto"/>
            <w:right w:val="none" w:sz="0" w:space="0" w:color="auto"/>
          </w:divBdr>
        </w:div>
        <w:div w:id="1702318006">
          <w:marLeft w:val="0"/>
          <w:marRight w:val="0"/>
          <w:marTop w:val="0"/>
          <w:marBottom w:val="0"/>
          <w:divBdr>
            <w:top w:val="none" w:sz="0" w:space="0" w:color="auto"/>
            <w:left w:val="none" w:sz="0" w:space="0" w:color="auto"/>
            <w:bottom w:val="none" w:sz="0" w:space="0" w:color="auto"/>
            <w:right w:val="none" w:sz="0" w:space="0" w:color="auto"/>
          </w:divBdr>
        </w:div>
      </w:divsChild>
    </w:div>
    <w:div w:id="512962155">
      <w:bodyDiv w:val="1"/>
      <w:marLeft w:val="0"/>
      <w:marRight w:val="0"/>
      <w:marTop w:val="0"/>
      <w:marBottom w:val="0"/>
      <w:divBdr>
        <w:top w:val="none" w:sz="0" w:space="0" w:color="auto"/>
        <w:left w:val="none" w:sz="0" w:space="0" w:color="auto"/>
        <w:bottom w:val="none" w:sz="0" w:space="0" w:color="auto"/>
        <w:right w:val="none" w:sz="0" w:space="0" w:color="auto"/>
      </w:divBdr>
      <w:divsChild>
        <w:div w:id="1992099321">
          <w:marLeft w:val="0"/>
          <w:marRight w:val="0"/>
          <w:marTop w:val="0"/>
          <w:marBottom w:val="0"/>
          <w:divBdr>
            <w:top w:val="none" w:sz="0" w:space="0" w:color="auto"/>
            <w:left w:val="none" w:sz="0" w:space="0" w:color="auto"/>
            <w:bottom w:val="none" w:sz="0" w:space="0" w:color="auto"/>
            <w:right w:val="none" w:sz="0" w:space="0" w:color="auto"/>
          </w:divBdr>
          <w:divsChild>
            <w:div w:id="920602195">
              <w:marLeft w:val="0"/>
              <w:marRight w:val="0"/>
              <w:marTop w:val="0"/>
              <w:marBottom w:val="0"/>
              <w:divBdr>
                <w:top w:val="none" w:sz="0" w:space="0" w:color="auto"/>
                <w:left w:val="none" w:sz="0" w:space="0" w:color="auto"/>
                <w:bottom w:val="none" w:sz="0" w:space="0" w:color="auto"/>
                <w:right w:val="none" w:sz="0" w:space="0" w:color="auto"/>
              </w:divBdr>
              <w:divsChild>
                <w:div w:id="142260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351007">
      <w:bodyDiv w:val="1"/>
      <w:marLeft w:val="0"/>
      <w:marRight w:val="0"/>
      <w:marTop w:val="0"/>
      <w:marBottom w:val="0"/>
      <w:divBdr>
        <w:top w:val="none" w:sz="0" w:space="0" w:color="auto"/>
        <w:left w:val="none" w:sz="0" w:space="0" w:color="auto"/>
        <w:bottom w:val="none" w:sz="0" w:space="0" w:color="auto"/>
        <w:right w:val="none" w:sz="0" w:space="0" w:color="auto"/>
      </w:divBdr>
      <w:divsChild>
        <w:div w:id="207887333">
          <w:marLeft w:val="0"/>
          <w:marRight w:val="0"/>
          <w:marTop w:val="0"/>
          <w:marBottom w:val="0"/>
          <w:divBdr>
            <w:top w:val="none" w:sz="0" w:space="0" w:color="auto"/>
            <w:left w:val="none" w:sz="0" w:space="0" w:color="auto"/>
            <w:bottom w:val="none" w:sz="0" w:space="0" w:color="auto"/>
            <w:right w:val="none" w:sz="0" w:space="0" w:color="auto"/>
          </w:divBdr>
          <w:divsChild>
            <w:div w:id="1577857926">
              <w:marLeft w:val="0"/>
              <w:marRight w:val="0"/>
              <w:marTop w:val="0"/>
              <w:marBottom w:val="0"/>
              <w:divBdr>
                <w:top w:val="none" w:sz="0" w:space="0" w:color="auto"/>
                <w:left w:val="none" w:sz="0" w:space="0" w:color="auto"/>
                <w:bottom w:val="none" w:sz="0" w:space="0" w:color="auto"/>
                <w:right w:val="none" w:sz="0" w:space="0" w:color="auto"/>
              </w:divBdr>
            </w:div>
            <w:div w:id="1108114424">
              <w:marLeft w:val="0"/>
              <w:marRight w:val="0"/>
              <w:marTop w:val="0"/>
              <w:marBottom w:val="0"/>
              <w:divBdr>
                <w:top w:val="none" w:sz="0" w:space="0" w:color="auto"/>
                <w:left w:val="none" w:sz="0" w:space="0" w:color="auto"/>
                <w:bottom w:val="none" w:sz="0" w:space="0" w:color="auto"/>
                <w:right w:val="none" w:sz="0" w:space="0" w:color="auto"/>
              </w:divBdr>
            </w:div>
            <w:div w:id="96799400">
              <w:marLeft w:val="0"/>
              <w:marRight w:val="0"/>
              <w:marTop w:val="0"/>
              <w:marBottom w:val="0"/>
              <w:divBdr>
                <w:top w:val="none" w:sz="0" w:space="0" w:color="auto"/>
                <w:left w:val="none" w:sz="0" w:space="0" w:color="auto"/>
                <w:bottom w:val="none" w:sz="0" w:space="0" w:color="auto"/>
                <w:right w:val="none" w:sz="0" w:space="0" w:color="auto"/>
              </w:divBdr>
            </w:div>
            <w:div w:id="1648313852">
              <w:marLeft w:val="0"/>
              <w:marRight w:val="0"/>
              <w:marTop w:val="0"/>
              <w:marBottom w:val="0"/>
              <w:divBdr>
                <w:top w:val="none" w:sz="0" w:space="0" w:color="auto"/>
                <w:left w:val="none" w:sz="0" w:space="0" w:color="auto"/>
                <w:bottom w:val="none" w:sz="0" w:space="0" w:color="auto"/>
                <w:right w:val="none" w:sz="0" w:space="0" w:color="auto"/>
              </w:divBdr>
            </w:div>
            <w:div w:id="1642271427">
              <w:marLeft w:val="0"/>
              <w:marRight w:val="0"/>
              <w:marTop w:val="0"/>
              <w:marBottom w:val="0"/>
              <w:divBdr>
                <w:top w:val="none" w:sz="0" w:space="0" w:color="auto"/>
                <w:left w:val="none" w:sz="0" w:space="0" w:color="auto"/>
                <w:bottom w:val="none" w:sz="0" w:space="0" w:color="auto"/>
                <w:right w:val="none" w:sz="0" w:space="0" w:color="auto"/>
              </w:divBdr>
            </w:div>
            <w:div w:id="1118837002">
              <w:marLeft w:val="0"/>
              <w:marRight w:val="0"/>
              <w:marTop w:val="0"/>
              <w:marBottom w:val="0"/>
              <w:divBdr>
                <w:top w:val="none" w:sz="0" w:space="0" w:color="auto"/>
                <w:left w:val="none" w:sz="0" w:space="0" w:color="auto"/>
                <w:bottom w:val="none" w:sz="0" w:space="0" w:color="auto"/>
                <w:right w:val="none" w:sz="0" w:space="0" w:color="auto"/>
              </w:divBdr>
            </w:div>
            <w:div w:id="444278313">
              <w:marLeft w:val="0"/>
              <w:marRight w:val="0"/>
              <w:marTop w:val="0"/>
              <w:marBottom w:val="0"/>
              <w:divBdr>
                <w:top w:val="none" w:sz="0" w:space="0" w:color="auto"/>
                <w:left w:val="none" w:sz="0" w:space="0" w:color="auto"/>
                <w:bottom w:val="none" w:sz="0" w:space="0" w:color="auto"/>
                <w:right w:val="none" w:sz="0" w:space="0" w:color="auto"/>
              </w:divBdr>
            </w:div>
            <w:div w:id="93478534">
              <w:marLeft w:val="0"/>
              <w:marRight w:val="0"/>
              <w:marTop w:val="0"/>
              <w:marBottom w:val="0"/>
              <w:divBdr>
                <w:top w:val="none" w:sz="0" w:space="0" w:color="auto"/>
                <w:left w:val="none" w:sz="0" w:space="0" w:color="auto"/>
                <w:bottom w:val="none" w:sz="0" w:space="0" w:color="auto"/>
                <w:right w:val="none" w:sz="0" w:space="0" w:color="auto"/>
              </w:divBdr>
            </w:div>
            <w:div w:id="175199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398503">
      <w:bodyDiv w:val="1"/>
      <w:marLeft w:val="0"/>
      <w:marRight w:val="0"/>
      <w:marTop w:val="0"/>
      <w:marBottom w:val="0"/>
      <w:divBdr>
        <w:top w:val="none" w:sz="0" w:space="0" w:color="auto"/>
        <w:left w:val="none" w:sz="0" w:space="0" w:color="auto"/>
        <w:bottom w:val="none" w:sz="0" w:space="0" w:color="auto"/>
        <w:right w:val="none" w:sz="0" w:space="0" w:color="auto"/>
      </w:divBdr>
      <w:divsChild>
        <w:div w:id="962803998">
          <w:marLeft w:val="0"/>
          <w:marRight w:val="0"/>
          <w:marTop w:val="0"/>
          <w:marBottom w:val="0"/>
          <w:divBdr>
            <w:top w:val="none" w:sz="0" w:space="0" w:color="auto"/>
            <w:left w:val="none" w:sz="0" w:space="0" w:color="auto"/>
            <w:bottom w:val="none" w:sz="0" w:space="0" w:color="auto"/>
            <w:right w:val="none" w:sz="0" w:space="0" w:color="auto"/>
          </w:divBdr>
          <w:divsChild>
            <w:div w:id="1737780396">
              <w:marLeft w:val="0"/>
              <w:marRight w:val="0"/>
              <w:marTop w:val="0"/>
              <w:marBottom w:val="0"/>
              <w:divBdr>
                <w:top w:val="none" w:sz="0" w:space="0" w:color="auto"/>
                <w:left w:val="none" w:sz="0" w:space="0" w:color="auto"/>
                <w:bottom w:val="none" w:sz="0" w:space="0" w:color="auto"/>
                <w:right w:val="none" w:sz="0" w:space="0" w:color="auto"/>
              </w:divBdr>
              <w:divsChild>
                <w:div w:id="154227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245305">
      <w:bodyDiv w:val="1"/>
      <w:marLeft w:val="0"/>
      <w:marRight w:val="0"/>
      <w:marTop w:val="0"/>
      <w:marBottom w:val="0"/>
      <w:divBdr>
        <w:top w:val="none" w:sz="0" w:space="0" w:color="auto"/>
        <w:left w:val="none" w:sz="0" w:space="0" w:color="auto"/>
        <w:bottom w:val="none" w:sz="0" w:space="0" w:color="auto"/>
        <w:right w:val="none" w:sz="0" w:space="0" w:color="auto"/>
      </w:divBdr>
      <w:divsChild>
        <w:div w:id="1902208613">
          <w:marLeft w:val="0"/>
          <w:marRight w:val="0"/>
          <w:marTop w:val="0"/>
          <w:marBottom w:val="0"/>
          <w:divBdr>
            <w:top w:val="none" w:sz="0" w:space="0" w:color="auto"/>
            <w:left w:val="none" w:sz="0" w:space="0" w:color="auto"/>
            <w:bottom w:val="none" w:sz="0" w:space="0" w:color="auto"/>
            <w:right w:val="none" w:sz="0" w:space="0" w:color="auto"/>
          </w:divBdr>
          <w:divsChild>
            <w:div w:id="1035622492">
              <w:marLeft w:val="0"/>
              <w:marRight w:val="0"/>
              <w:marTop w:val="0"/>
              <w:marBottom w:val="0"/>
              <w:divBdr>
                <w:top w:val="none" w:sz="0" w:space="0" w:color="auto"/>
                <w:left w:val="none" w:sz="0" w:space="0" w:color="auto"/>
                <w:bottom w:val="none" w:sz="0" w:space="0" w:color="auto"/>
                <w:right w:val="none" w:sz="0" w:space="0" w:color="auto"/>
              </w:divBdr>
              <w:divsChild>
                <w:div w:id="214014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024223">
      <w:bodyDiv w:val="1"/>
      <w:marLeft w:val="0"/>
      <w:marRight w:val="0"/>
      <w:marTop w:val="0"/>
      <w:marBottom w:val="0"/>
      <w:divBdr>
        <w:top w:val="none" w:sz="0" w:space="0" w:color="auto"/>
        <w:left w:val="none" w:sz="0" w:space="0" w:color="auto"/>
        <w:bottom w:val="none" w:sz="0" w:space="0" w:color="auto"/>
        <w:right w:val="none" w:sz="0" w:space="0" w:color="auto"/>
      </w:divBdr>
      <w:divsChild>
        <w:div w:id="1852604034">
          <w:marLeft w:val="0"/>
          <w:marRight w:val="0"/>
          <w:marTop w:val="0"/>
          <w:marBottom w:val="0"/>
          <w:divBdr>
            <w:top w:val="none" w:sz="0" w:space="0" w:color="auto"/>
            <w:left w:val="none" w:sz="0" w:space="0" w:color="auto"/>
            <w:bottom w:val="none" w:sz="0" w:space="0" w:color="auto"/>
            <w:right w:val="none" w:sz="0" w:space="0" w:color="auto"/>
          </w:divBdr>
          <w:divsChild>
            <w:div w:id="1577591882">
              <w:marLeft w:val="0"/>
              <w:marRight w:val="0"/>
              <w:marTop w:val="0"/>
              <w:marBottom w:val="0"/>
              <w:divBdr>
                <w:top w:val="none" w:sz="0" w:space="0" w:color="auto"/>
                <w:left w:val="none" w:sz="0" w:space="0" w:color="auto"/>
                <w:bottom w:val="none" w:sz="0" w:space="0" w:color="auto"/>
                <w:right w:val="none" w:sz="0" w:space="0" w:color="auto"/>
              </w:divBdr>
            </w:div>
            <w:div w:id="1205143452">
              <w:marLeft w:val="0"/>
              <w:marRight w:val="0"/>
              <w:marTop w:val="0"/>
              <w:marBottom w:val="0"/>
              <w:divBdr>
                <w:top w:val="none" w:sz="0" w:space="0" w:color="auto"/>
                <w:left w:val="none" w:sz="0" w:space="0" w:color="auto"/>
                <w:bottom w:val="none" w:sz="0" w:space="0" w:color="auto"/>
                <w:right w:val="none" w:sz="0" w:space="0" w:color="auto"/>
              </w:divBdr>
            </w:div>
            <w:div w:id="1675643343">
              <w:marLeft w:val="0"/>
              <w:marRight w:val="0"/>
              <w:marTop w:val="0"/>
              <w:marBottom w:val="0"/>
              <w:divBdr>
                <w:top w:val="none" w:sz="0" w:space="0" w:color="auto"/>
                <w:left w:val="none" w:sz="0" w:space="0" w:color="auto"/>
                <w:bottom w:val="none" w:sz="0" w:space="0" w:color="auto"/>
                <w:right w:val="none" w:sz="0" w:space="0" w:color="auto"/>
              </w:divBdr>
            </w:div>
            <w:div w:id="618612022">
              <w:marLeft w:val="0"/>
              <w:marRight w:val="0"/>
              <w:marTop w:val="0"/>
              <w:marBottom w:val="0"/>
              <w:divBdr>
                <w:top w:val="none" w:sz="0" w:space="0" w:color="auto"/>
                <w:left w:val="none" w:sz="0" w:space="0" w:color="auto"/>
                <w:bottom w:val="none" w:sz="0" w:space="0" w:color="auto"/>
                <w:right w:val="none" w:sz="0" w:space="0" w:color="auto"/>
              </w:divBdr>
            </w:div>
            <w:div w:id="135600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alcaldiabogota.gov.co/sisjur/normas/Norma1.jsp?i=15805"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3907AE-474A-4C03-BBD6-326D497A9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1877</TotalTime>
  <Pages>40</Pages>
  <Words>9612</Words>
  <Characters>52868</Characters>
  <Application>Microsoft Office Word</Application>
  <DocSecurity>0</DocSecurity>
  <Lines>440</Lines>
  <Paragraphs>124</Paragraphs>
  <ScaleCrop>false</ScaleCrop>
  <HeadingPairs>
    <vt:vector size="2" baseType="variant">
      <vt:variant>
        <vt:lpstr>Título</vt:lpstr>
      </vt:variant>
      <vt:variant>
        <vt:i4>1</vt:i4>
      </vt:variant>
    </vt:vector>
  </HeadingPairs>
  <TitlesOfParts>
    <vt:vector size="1" baseType="lpstr">
      <vt:lpstr>CORTE SUPREMA DE JUSTICIA</vt:lpstr>
    </vt:vector>
  </TitlesOfParts>
  <Company>CONSEJO SUPERIOR DE LA JUDICATURA</Company>
  <LinksUpToDate>false</LinksUpToDate>
  <CharactersWithSpaces>62356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CORTE SUPREMA DE JUSTICIA</dc:title>
  <dc:subject/>
  <dc:creator>Miguel Orlando Bohorquez Rincon</dc:creator>
  <cp:keywords/>
  <cp:lastModifiedBy>Miguel Orlando Bohorquez Rincon</cp:lastModifiedBy>
  <cp:revision>615</cp:revision>
  <cp:lastPrinted>2017-10-18T16:36:00Z</cp:lastPrinted>
  <dcterms:created xsi:type="dcterms:W3CDTF">2017-10-05T20:55:00Z</dcterms:created>
  <dcterms:modified xsi:type="dcterms:W3CDTF">2017-10-18T16:36:00Z</dcterms:modified>
</cp:coreProperties>
</file>